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AE5157C" w14:textId="77777777" w:rsidR="005D5842" w:rsidRDefault="00000000">
      <w:pPr>
        <w:ind w:left="1260" w:hanging="1260"/>
        <w:jc w:val="center"/>
        <w:rPr>
          <w:b/>
          <w:bCs/>
          <w:i/>
          <w:sz w:val="22"/>
          <w:szCs w:val="22"/>
        </w:rPr>
      </w:pPr>
      <w:r>
        <w:rPr>
          <w:b/>
          <w:bCs/>
          <w:i/>
          <w:sz w:val="22"/>
          <w:szCs w:val="22"/>
        </w:rPr>
        <w:t>DICHIARAZIONE SOSTITUTIVA DI CERTIFICAZIONI/ATTO NOTORIO</w:t>
      </w:r>
    </w:p>
    <w:p w14:paraId="717632A6" w14:textId="77777777" w:rsidR="005D5842" w:rsidRDefault="00000000">
      <w:pPr>
        <w:jc w:val="center"/>
        <w:rPr>
          <w:sz w:val="22"/>
          <w:szCs w:val="22"/>
        </w:rPr>
      </w:pPr>
      <w:r>
        <w:rPr>
          <w:b/>
          <w:bCs/>
          <w:i/>
          <w:sz w:val="22"/>
          <w:szCs w:val="22"/>
        </w:rPr>
        <w:t>(ART. 46 E 47 D.P.R. 28 DICEMBRE 2000, N. 445)</w:t>
      </w:r>
    </w:p>
    <w:p w14:paraId="5E820D34" w14:textId="77777777" w:rsidR="005D5842" w:rsidRDefault="005D5842">
      <w:pPr>
        <w:jc w:val="center"/>
        <w:rPr>
          <w:sz w:val="22"/>
          <w:szCs w:val="22"/>
        </w:rPr>
      </w:pPr>
    </w:p>
    <w:p w14:paraId="3E416A51" w14:textId="71946B22" w:rsidR="005D5842" w:rsidRDefault="00000000">
      <w:pPr>
        <w:jc w:val="lowKashida"/>
        <w:rPr>
          <w:b/>
          <w:bCs/>
          <w:sz w:val="22"/>
          <w:szCs w:val="22"/>
        </w:rPr>
      </w:pPr>
      <w:r>
        <w:rPr>
          <w:b/>
          <w:bCs/>
          <w:sz w:val="22"/>
          <w:szCs w:val="22"/>
        </w:rPr>
        <w:t>GARA UBUY G03393</w:t>
      </w:r>
    </w:p>
    <w:p w14:paraId="6E988AE0" w14:textId="77777777" w:rsidR="005D5842" w:rsidRDefault="005D5842">
      <w:pPr>
        <w:jc w:val="lowKashida"/>
        <w:rPr>
          <w:sz w:val="22"/>
          <w:szCs w:val="22"/>
        </w:rPr>
      </w:pPr>
    </w:p>
    <w:p w14:paraId="6D14B154" w14:textId="77777777" w:rsidR="005D5842" w:rsidRDefault="00000000">
      <w:pPr>
        <w:pStyle w:val="sche3"/>
        <w:spacing w:line="360" w:lineRule="auto"/>
        <w:jc w:val="lowKashida"/>
        <w:rPr>
          <w:sz w:val="22"/>
          <w:szCs w:val="22"/>
          <w:lang w:val="it-IT"/>
        </w:rPr>
      </w:pPr>
      <w:r>
        <w:rPr>
          <w:sz w:val="22"/>
          <w:szCs w:val="22"/>
          <w:lang w:val="it-IT"/>
        </w:rPr>
        <w:t>Il sottoscritto ____________________________________________________________________________</w:t>
      </w:r>
    </w:p>
    <w:p w14:paraId="4DE3CA64" w14:textId="77777777" w:rsidR="005D5842" w:rsidRDefault="00000000">
      <w:pPr>
        <w:pStyle w:val="sche3"/>
        <w:spacing w:line="360" w:lineRule="auto"/>
        <w:jc w:val="lowKashida"/>
        <w:rPr>
          <w:sz w:val="22"/>
          <w:szCs w:val="22"/>
          <w:lang w:val="it-IT"/>
        </w:rPr>
      </w:pPr>
      <w:r>
        <w:rPr>
          <w:sz w:val="22"/>
          <w:szCs w:val="22"/>
          <w:lang w:val="it-IT"/>
        </w:rPr>
        <w:t>nato il ________________________a ________________________________________ (_______________)</w:t>
      </w:r>
    </w:p>
    <w:p w14:paraId="36D8474E" w14:textId="77777777" w:rsidR="005D5842" w:rsidRDefault="00000000">
      <w:pPr>
        <w:pStyle w:val="sche3"/>
        <w:spacing w:line="360" w:lineRule="auto"/>
        <w:jc w:val="lowKashida"/>
        <w:rPr>
          <w:sz w:val="22"/>
          <w:szCs w:val="22"/>
          <w:lang w:val="it-IT"/>
        </w:rPr>
      </w:pPr>
      <w:r>
        <w:rPr>
          <w:sz w:val="22"/>
          <w:szCs w:val="22"/>
          <w:lang w:val="it-IT"/>
        </w:rPr>
        <w:t>residente a __________________________ (_____) Via _________________________________________</w:t>
      </w:r>
    </w:p>
    <w:p w14:paraId="2234412C" w14:textId="77777777" w:rsidR="005D5842" w:rsidRDefault="00000000">
      <w:pPr>
        <w:pStyle w:val="sche3"/>
        <w:spacing w:line="360" w:lineRule="auto"/>
        <w:jc w:val="lowKashida"/>
        <w:rPr>
          <w:sz w:val="22"/>
          <w:szCs w:val="22"/>
          <w:lang w:val="it-IT"/>
        </w:rPr>
      </w:pPr>
      <w:r>
        <w:rPr>
          <w:sz w:val="22"/>
          <w:szCs w:val="22"/>
          <w:lang w:val="it-IT"/>
        </w:rPr>
        <w:t>codice fiscale ____________________________________________________________________________</w:t>
      </w:r>
    </w:p>
    <w:p w14:paraId="49B4F38D" w14:textId="77777777" w:rsidR="005D5842" w:rsidRDefault="00000000">
      <w:pPr>
        <w:pStyle w:val="sche3"/>
        <w:spacing w:line="360" w:lineRule="auto"/>
        <w:jc w:val="lowKashida"/>
        <w:rPr>
          <w:sz w:val="22"/>
          <w:szCs w:val="22"/>
          <w:lang w:val="it-IT"/>
        </w:rPr>
      </w:pPr>
      <w:r>
        <w:rPr>
          <w:sz w:val="22"/>
          <w:szCs w:val="22"/>
          <w:lang w:val="it-IT"/>
        </w:rPr>
        <w:t xml:space="preserve">in qualità di _____________________________________________________________________________ </w:t>
      </w:r>
    </w:p>
    <w:p w14:paraId="3DF03566" w14:textId="77777777" w:rsidR="005D5842" w:rsidRDefault="00000000">
      <w:pPr>
        <w:pStyle w:val="sche3"/>
        <w:spacing w:line="360" w:lineRule="auto"/>
        <w:jc w:val="lowKashida"/>
        <w:rPr>
          <w:sz w:val="22"/>
          <w:szCs w:val="22"/>
          <w:lang w:val="it-IT"/>
        </w:rPr>
      </w:pPr>
      <w:r>
        <w:rPr>
          <w:sz w:val="22"/>
          <w:szCs w:val="22"/>
          <w:lang w:val="it-IT"/>
        </w:rPr>
        <w:t>dell'Impresa _____________________________________________________________________________</w:t>
      </w:r>
    </w:p>
    <w:p w14:paraId="433D6757" w14:textId="77777777" w:rsidR="005D5842" w:rsidRDefault="00000000">
      <w:pPr>
        <w:pStyle w:val="sche3"/>
        <w:spacing w:line="360" w:lineRule="auto"/>
        <w:jc w:val="lowKashida"/>
        <w:rPr>
          <w:sz w:val="22"/>
          <w:szCs w:val="22"/>
          <w:lang w:val="it-IT"/>
        </w:rPr>
      </w:pPr>
      <w:r>
        <w:rPr>
          <w:sz w:val="22"/>
          <w:szCs w:val="22"/>
          <w:lang w:val="it-IT"/>
        </w:rPr>
        <w:t>con sede legale in ___________ (_______) Cap ____________ Via _________________________________</w:t>
      </w:r>
    </w:p>
    <w:p w14:paraId="25B253EB" w14:textId="77777777" w:rsidR="005D5842" w:rsidRDefault="00000000">
      <w:pPr>
        <w:pStyle w:val="sche3"/>
        <w:spacing w:line="360" w:lineRule="auto"/>
        <w:jc w:val="lowKashida"/>
        <w:rPr>
          <w:sz w:val="22"/>
          <w:szCs w:val="22"/>
          <w:lang w:val="it-IT"/>
        </w:rPr>
      </w:pPr>
      <w:r>
        <w:rPr>
          <w:sz w:val="22"/>
          <w:szCs w:val="22"/>
          <w:lang w:val="it-IT"/>
        </w:rPr>
        <w:t xml:space="preserve">tel. _______________________ n° di fax_______________ PEC___________________________________ </w:t>
      </w:r>
    </w:p>
    <w:p w14:paraId="454A13A5" w14:textId="77777777" w:rsidR="005D5842" w:rsidRDefault="00000000">
      <w:pPr>
        <w:pStyle w:val="sche3"/>
        <w:spacing w:line="360" w:lineRule="auto"/>
        <w:jc w:val="lowKashida"/>
        <w:rPr>
          <w:sz w:val="22"/>
          <w:szCs w:val="22"/>
          <w:lang w:val="it-IT"/>
        </w:rPr>
      </w:pPr>
      <w:r>
        <w:rPr>
          <w:sz w:val="22"/>
          <w:szCs w:val="22"/>
          <w:lang w:val="it-IT"/>
        </w:rPr>
        <w:t>Codice Fiscale dell’Impresa ____________________ Partita IVA dell’Impresa _______________________</w:t>
      </w:r>
    </w:p>
    <w:p w14:paraId="45E08066" w14:textId="77777777" w:rsidR="005D5842" w:rsidRDefault="00000000">
      <w:pPr>
        <w:pStyle w:val="sche3"/>
        <w:spacing w:line="360" w:lineRule="auto"/>
        <w:jc w:val="lowKashida"/>
        <w:rPr>
          <w:sz w:val="22"/>
          <w:szCs w:val="22"/>
          <w:lang w:val="it-IT"/>
        </w:rPr>
      </w:pPr>
      <w:r>
        <w:rPr>
          <w:sz w:val="22"/>
          <w:szCs w:val="22"/>
          <w:lang w:val="it-IT"/>
        </w:rPr>
        <w:t xml:space="preserve">iscritta al Registro delle Imprese, se italiana, della Camera di Commercio di __________________________, </w:t>
      </w:r>
    </w:p>
    <w:p w14:paraId="50AAB2A1" w14:textId="77777777" w:rsidR="005D5842" w:rsidRDefault="00000000">
      <w:pPr>
        <w:pStyle w:val="sche3"/>
        <w:spacing w:line="360" w:lineRule="auto"/>
        <w:jc w:val="lowKashida"/>
        <w:rPr>
          <w:sz w:val="22"/>
          <w:szCs w:val="22"/>
          <w:lang w:val="it-IT"/>
        </w:rPr>
      </w:pPr>
      <w:r>
        <w:rPr>
          <w:sz w:val="22"/>
          <w:szCs w:val="22"/>
          <w:lang w:val="it-IT"/>
        </w:rPr>
        <w:t xml:space="preserve">al n. _________________________, a decorrere dal _______________________, per l’esercizio dell’attività </w:t>
      </w:r>
    </w:p>
    <w:p w14:paraId="3F93A1B5" w14:textId="77777777" w:rsidR="005D5842" w:rsidRDefault="00000000">
      <w:pPr>
        <w:pStyle w:val="sche3"/>
        <w:spacing w:line="360" w:lineRule="auto"/>
        <w:jc w:val="lowKashida"/>
        <w:rPr>
          <w:iCs/>
          <w:sz w:val="22"/>
          <w:szCs w:val="22"/>
          <w:lang w:val="it-IT"/>
        </w:rPr>
      </w:pPr>
      <w:r>
        <w:rPr>
          <w:sz w:val="22"/>
          <w:szCs w:val="22"/>
          <w:lang w:val="it-IT"/>
        </w:rPr>
        <w:t>_____________________________________________________________________</w:t>
      </w:r>
      <w:r>
        <w:rPr>
          <w:b/>
          <w:i/>
          <w:sz w:val="22"/>
          <w:szCs w:val="22"/>
          <w:lang w:val="it-IT"/>
        </w:rPr>
        <w:t>(*)</w:t>
      </w:r>
    </w:p>
    <w:p w14:paraId="1DAF60B7" w14:textId="77777777" w:rsidR="005D5842" w:rsidRDefault="00000000">
      <w:pPr>
        <w:pStyle w:val="Corpodeltesto21"/>
        <w:rPr>
          <w:sz w:val="22"/>
          <w:szCs w:val="22"/>
        </w:rPr>
      </w:pPr>
      <w:r>
        <w:rPr>
          <w:iCs/>
          <w:sz w:val="22"/>
          <w:szCs w:val="22"/>
        </w:rPr>
        <w:t>consapevole delle sanzioni penali, nel caso di dichiarazioni non veritiere, di formazione o uso di atti falsi, richiamate dall’art. 76 del D.P.R. 445 del 28 dicembre 2000 e smi, consapevole, altresì, di incorrere nella decadenza dai benefici eventualmente conseguenti al provvedimento emanato dall’amministrazione, qualora in sede di controllo emerga la non veridicità del contenuto della dichiarazione, sotto la propria responsabilità</w:t>
      </w:r>
    </w:p>
    <w:p w14:paraId="6C1E1CA7" w14:textId="77777777" w:rsidR="005D5842" w:rsidRDefault="005D5842">
      <w:pPr>
        <w:pStyle w:val="Corpodeltesto21"/>
        <w:spacing w:line="240" w:lineRule="auto"/>
        <w:ind w:left="0"/>
        <w:rPr>
          <w:rFonts w:ascii="Times New Roman" w:hAnsi="Times New Roman" w:cs="Times New Roman"/>
          <w:sz w:val="22"/>
          <w:szCs w:val="22"/>
        </w:rPr>
      </w:pPr>
    </w:p>
    <w:p w14:paraId="5A3E1A25" w14:textId="77777777" w:rsidR="005D5842" w:rsidRDefault="00000000">
      <w:pPr>
        <w:pStyle w:val="Corpodeltesto21"/>
        <w:spacing w:line="240" w:lineRule="auto"/>
        <w:ind w:left="0"/>
        <w:jc w:val="center"/>
        <w:rPr>
          <w:rFonts w:ascii="Times New Roman" w:hAnsi="Times New Roman" w:cs="Times New Roman"/>
          <w:sz w:val="22"/>
          <w:szCs w:val="22"/>
        </w:rPr>
      </w:pPr>
      <w:r>
        <w:rPr>
          <w:rFonts w:ascii="Times New Roman" w:hAnsi="Times New Roman" w:cs="Times New Roman"/>
          <w:b/>
          <w:sz w:val="22"/>
          <w:szCs w:val="22"/>
        </w:rPr>
        <w:t>DICHIARA</w:t>
      </w:r>
    </w:p>
    <w:p w14:paraId="1B7DD170" w14:textId="77777777" w:rsidR="005D5842" w:rsidRDefault="005D5842">
      <w:pPr>
        <w:jc w:val="both"/>
        <w:rPr>
          <w:sz w:val="22"/>
          <w:szCs w:val="22"/>
        </w:rPr>
      </w:pPr>
    </w:p>
    <w:p w14:paraId="44D880EA" w14:textId="77777777" w:rsidR="005D5842" w:rsidRDefault="00000000">
      <w:pPr>
        <w:jc w:val="both"/>
        <w:rPr>
          <w:sz w:val="22"/>
          <w:szCs w:val="22"/>
        </w:rPr>
      </w:pPr>
      <w:bookmarkStart w:id="0" w:name="_Hlk139216515"/>
      <w:r>
        <w:rPr>
          <w:b/>
          <w:sz w:val="22"/>
          <w:szCs w:val="22"/>
          <w:u w:val="single"/>
        </w:rPr>
        <w:t>di non trovarsi in alcuna delle cause di esclusione di cui all’art. 94 del D. Lgs. 36/2023 intitolato “Cause di esclusione automatica” ed in particolare (barrare con “X”):</w:t>
      </w:r>
    </w:p>
    <w:bookmarkEnd w:id="0"/>
    <w:p w14:paraId="40D678EF" w14:textId="77777777" w:rsidR="005D5842" w:rsidRDefault="005D5842">
      <w:pPr>
        <w:pStyle w:val="Corpotesto"/>
        <w:tabs>
          <w:tab w:val="left" w:pos="23400"/>
        </w:tabs>
        <w:jc w:val="both"/>
        <w:rPr>
          <w:sz w:val="22"/>
          <w:szCs w:val="22"/>
        </w:rPr>
      </w:pPr>
    </w:p>
    <w:p w14:paraId="7EEA4030" w14:textId="77777777" w:rsidR="005D5842" w:rsidRDefault="00000000">
      <w:pPr>
        <w:pStyle w:val="Corpotesto"/>
        <w:tabs>
          <w:tab w:val="left" w:pos="23400"/>
        </w:tabs>
        <w:jc w:val="both"/>
        <w:rPr>
          <w:sz w:val="22"/>
          <w:szCs w:val="22"/>
        </w:rPr>
      </w:pPr>
      <w:r>
        <w:rPr>
          <w:sz w:val="22"/>
          <w:szCs w:val="22"/>
        </w:rPr>
        <w:t xml:space="preserve">□ 1) </w:t>
      </w:r>
      <w:r>
        <w:rPr>
          <w:b w:val="0"/>
          <w:sz w:val="22"/>
          <w:szCs w:val="22"/>
        </w:rPr>
        <w:t>di non aver riportato la condanna con sentenza definitiva o decreto penale di condanna divenuto irrevocabile per uno dei seguenti reati:</w:t>
      </w:r>
    </w:p>
    <w:p w14:paraId="7BAD69B2" w14:textId="77777777" w:rsidR="005D5842" w:rsidRDefault="00000000">
      <w:pPr>
        <w:numPr>
          <w:ilvl w:val="0"/>
          <w:numId w:val="2"/>
        </w:numPr>
        <w:tabs>
          <w:tab w:val="clear" w:pos="502"/>
          <w:tab w:val="left" w:pos="-26476"/>
          <w:tab w:val="left" w:pos="9638"/>
          <w:tab w:val="left" w:pos="10076"/>
          <w:tab w:val="left" w:pos="10992"/>
          <w:tab w:val="left" w:pos="11908"/>
          <w:tab w:val="left" w:pos="12824"/>
          <w:tab w:val="left" w:pos="13740"/>
          <w:tab w:val="left" w:pos="14656"/>
        </w:tabs>
        <w:ind w:left="851" w:hanging="425"/>
        <w:jc w:val="both"/>
        <w:rPr>
          <w:sz w:val="22"/>
          <w:szCs w:val="22"/>
        </w:rPr>
      </w:pPr>
      <w:r>
        <w:rPr>
          <w:sz w:val="22"/>
          <w:szCs w:val="22"/>
        </w:rPr>
        <w:t>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r>
        <w:rPr>
          <w:b/>
          <w:sz w:val="22"/>
          <w:szCs w:val="22"/>
        </w:rPr>
        <w:t>art. 94, comma 1, lett. a</w:t>
      </w:r>
      <w:r>
        <w:rPr>
          <w:sz w:val="22"/>
          <w:szCs w:val="22"/>
        </w:rPr>
        <w:t xml:space="preserve">); </w:t>
      </w:r>
    </w:p>
    <w:p w14:paraId="46BCC009" w14:textId="77777777" w:rsidR="005D5842" w:rsidRDefault="00000000">
      <w:pPr>
        <w:numPr>
          <w:ilvl w:val="0"/>
          <w:numId w:val="2"/>
        </w:numPr>
        <w:tabs>
          <w:tab w:val="clear" w:pos="502"/>
          <w:tab w:val="left" w:pos="-26476"/>
          <w:tab w:val="left" w:pos="9638"/>
          <w:tab w:val="left" w:pos="10076"/>
          <w:tab w:val="left" w:pos="10992"/>
          <w:tab w:val="left" w:pos="11908"/>
          <w:tab w:val="left" w:pos="12824"/>
          <w:tab w:val="left" w:pos="13740"/>
          <w:tab w:val="left" w:pos="14656"/>
        </w:tabs>
        <w:ind w:left="851" w:hanging="425"/>
        <w:jc w:val="both"/>
        <w:rPr>
          <w:sz w:val="22"/>
          <w:szCs w:val="22"/>
        </w:rPr>
      </w:pPr>
      <w:r>
        <w:rPr>
          <w:sz w:val="22"/>
          <w:szCs w:val="22"/>
        </w:rPr>
        <w:lastRenderedPageBreak/>
        <w:t>delitti, consumati o tentati, di cui agli articoli 317, 318, 319, 319-ter, 319-quater, 320, 321, 322, 322-bis, 346-bis, 353, 353-bis, 354, 355 e 356 del codice penale nonché all'articolo 2635 del codice civile (</w:t>
      </w:r>
      <w:r>
        <w:rPr>
          <w:b/>
          <w:sz w:val="22"/>
          <w:szCs w:val="22"/>
        </w:rPr>
        <w:t>art. 94, comma 1, lett. b</w:t>
      </w:r>
      <w:r>
        <w:rPr>
          <w:sz w:val="22"/>
          <w:szCs w:val="22"/>
        </w:rPr>
        <w:t>);</w:t>
      </w:r>
    </w:p>
    <w:p w14:paraId="521FE22D" w14:textId="77777777" w:rsidR="005D5842" w:rsidRDefault="00000000">
      <w:pPr>
        <w:numPr>
          <w:ilvl w:val="0"/>
          <w:numId w:val="2"/>
        </w:numPr>
        <w:tabs>
          <w:tab w:val="clear" w:pos="502"/>
          <w:tab w:val="left" w:pos="-26476"/>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false comunicazioni sociali di cui agli articoli 2621 e 2622 del codice civile (</w:t>
      </w:r>
      <w:r>
        <w:rPr>
          <w:b/>
          <w:sz w:val="22"/>
          <w:szCs w:val="22"/>
        </w:rPr>
        <w:t>art. 94, comma 1, lett. c</w:t>
      </w:r>
      <w:r>
        <w:rPr>
          <w:sz w:val="22"/>
          <w:szCs w:val="22"/>
        </w:rPr>
        <w:t>)</w:t>
      </w:r>
      <w:r>
        <w:rPr>
          <w:i/>
          <w:sz w:val="22"/>
          <w:szCs w:val="22"/>
        </w:rPr>
        <w:t>;</w:t>
      </w:r>
    </w:p>
    <w:p w14:paraId="2C34A813" w14:textId="77777777" w:rsidR="005D5842" w:rsidRDefault="00000000">
      <w:pPr>
        <w:numPr>
          <w:ilvl w:val="0"/>
          <w:numId w:val="2"/>
        </w:numPr>
        <w:tabs>
          <w:tab w:val="clear" w:pos="502"/>
          <w:tab w:val="left" w:pos="-26476"/>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frode ai sensi dell'articolo 1 della convenzione relativa alla tutela degli interessi finanziari delle Comunità europee, del 26 luglio 1995; (</w:t>
      </w:r>
      <w:r>
        <w:rPr>
          <w:b/>
          <w:sz w:val="22"/>
          <w:szCs w:val="22"/>
        </w:rPr>
        <w:t>art. 94, comma 1, lett. d</w:t>
      </w:r>
      <w:r>
        <w:rPr>
          <w:sz w:val="22"/>
          <w:szCs w:val="22"/>
        </w:rPr>
        <w:t>);</w:t>
      </w:r>
    </w:p>
    <w:p w14:paraId="7B209E91" w14:textId="77777777" w:rsidR="005D5842" w:rsidRDefault="00000000">
      <w:pPr>
        <w:numPr>
          <w:ilvl w:val="0"/>
          <w:numId w:val="2"/>
        </w:numPr>
        <w:tabs>
          <w:tab w:val="clear" w:pos="502"/>
          <w:tab w:val="left" w:pos="-26476"/>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delitti, consumati o tentati, commessi con finalità di terrorismo, anche internazionale, e di eversione dell'ordine costituzionale reati terroristici o reati connessi alle attività terroristiche (</w:t>
      </w:r>
      <w:r>
        <w:rPr>
          <w:b/>
          <w:sz w:val="22"/>
          <w:szCs w:val="22"/>
        </w:rPr>
        <w:t>art. 94, comma 1, lett. e</w:t>
      </w:r>
      <w:r>
        <w:rPr>
          <w:sz w:val="22"/>
          <w:szCs w:val="22"/>
        </w:rPr>
        <w:t>);</w:t>
      </w:r>
    </w:p>
    <w:p w14:paraId="2D700D53" w14:textId="77777777" w:rsidR="005D5842" w:rsidRDefault="00000000">
      <w:pPr>
        <w:numPr>
          <w:ilvl w:val="0"/>
          <w:numId w:val="2"/>
        </w:numPr>
        <w:tabs>
          <w:tab w:val="clear" w:pos="502"/>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delitti di cui agli articoli 648-bis, 648-ter e 648-ter.1 del codice penale, riciclaggio di proventi di attività criminose o finanziamento del terrorismo, quali definiti all'articolo 1 del decreto legislativo 22 giugno 2007, n. 109; (</w:t>
      </w:r>
      <w:r>
        <w:rPr>
          <w:b/>
          <w:sz w:val="22"/>
          <w:szCs w:val="22"/>
        </w:rPr>
        <w:t>art. 94, comma 1, lett. f</w:t>
      </w:r>
      <w:r>
        <w:rPr>
          <w:sz w:val="22"/>
          <w:szCs w:val="22"/>
        </w:rPr>
        <w:t>);</w:t>
      </w:r>
    </w:p>
    <w:p w14:paraId="3EBBEB50" w14:textId="77777777" w:rsidR="005D5842" w:rsidRDefault="00000000">
      <w:pPr>
        <w:numPr>
          <w:ilvl w:val="0"/>
          <w:numId w:val="2"/>
        </w:numPr>
        <w:tabs>
          <w:tab w:val="clear" w:pos="502"/>
          <w:tab w:val="left" w:pos="-26476"/>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sfruttamento del lavoro minorile e altre forme di tratta di esseri umani definite con il decreto legislativo 4 marzo 2014, n. 24; (</w:t>
      </w:r>
      <w:r>
        <w:rPr>
          <w:b/>
          <w:sz w:val="22"/>
          <w:szCs w:val="22"/>
        </w:rPr>
        <w:t>art. 94, comma 1, lett. g</w:t>
      </w:r>
      <w:r>
        <w:rPr>
          <w:sz w:val="22"/>
          <w:szCs w:val="22"/>
        </w:rPr>
        <w:t>);</w:t>
      </w:r>
    </w:p>
    <w:p w14:paraId="4A3F44D0" w14:textId="77777777" w:rsidR="005D5842" w:rsidRDefault="00000000">
      <w:pPr>
        <w:numPr>
          <w:ilvl w:val="0"/>
          <w:numId w:val="2"/>
        </w:numPr>
        <w:tabs>
          <w:tab w:val="clear" w:pos="502"/>
          <w:tab w:val="left" w:pos="-26476"/>
          <w:tab w:val="left" w:pos="9639"/>
          <w:tab w:val="left" w:pos="10076"/>
          <w:tab w:val="left" w:pos="10992"/>
          <w:tab w:val="left" w:pos="11908"/>
          <w:tab w:val="left" w:pos="12824"/>
          <w:tab w:val="left" w:pos="13740"/>
          <w:tab w:val="left" w:pos="14656"/>
        </w:tabs>
        <w:ind w:left="851" w:hanging="425"/>
        <w:jc w:val="both"/>
        <w:rPr>
          <w:sz w:val="22"/>
          <w:szCs w:val="22"/>
        </w:rPr>
      </w:pPr>
      <w:r>
        <w:rPr>
          <w:sz w:val="22"/>
          <w:szCs w:val="22"/>
        </w:rPr>
        <w:t>ogni altro delitto da cui derivi, quale pena accessoria, l'incapacità di contrattare con la pubblica amministrazione (</w:t>
      </w:r>
      <w:r>
        <w:rPr>
          <w:b/>
          <w:bCs/>
          <w:sz w:val="22"/>
          <w:szCs w:val="22"/>
        </w:rPr>
        <w:t>art.94, comma 1, lett.h)</w:t>
      </w:r>
    </w:p>
    <w:p w14:paraId="783FB6DA" w14:textId="77777777" w:rsidR="005D5842" w:rsidRDefault="005D5842">
      <w:pPr>
        <w:rPr>
          <w:sz w:val="22"/>
          <w:szCs w:val="22"/>
        </w:rPr>
      </w:pPr>
    </w:p>
    <w:p w14:paraId="3F56BA7D" w14:textId="77777777" w:rsidR="005D5842" w:rsidRDefault="00000000">
      <w:pPr>
        <w:tabs>
          <w:tab w:val="left" w:pos="9639"/>
          <w:tab w:val="left" w:pos="10076"/>
          <w:tab w:val="left" w:pos="10992"/>
          <w:tab w:val="left" w:pos="11908"/>
          <w:tab w:val="left" w:pos="12824"/>
          <w:tab w:val="left" w:pos="13740"/>
          <w:tab w:val="left" w:pos="14656"/>
        </w:tabs>
        <w:jc w:val="both"/>
        <w:rPr>
          <w:sz w:val="22"/>
          <w:szCs w:val="22"/>
        </w:rPr>
      </w:pPr>
      <w:r>
        <w:rPr>
          <w:sz w:val="22"/>
          <w:szCs w:val="22"/>
        </w:rPr>
        <w:t xml:space="preserve">□ </w:t>
      </w:r>
      <w:r>
        <w:rPr>
          <w:b/>
          <w:bCs/>
          <w:sz w:val="22"/>
          <w:szCs w:val="22"/>
        </w:rPr>
        <w:t>2)</w:t>
      </w:r>
      <w:r>
        <w:rPr>
          <w:sz w:val="22"/>
          <w:szCs w:val="22"/>
        </w:rPr>
        <w:t xml:space="preserve"> che non sussistono cause di decadenza, di sospensione o di divieto previste dall'articolo 67 del codice delle leggi antimafia e delle misure di prevenzione, di cui al decreto legislativo 6 settembre 2011, n. 159 o di un tentativo di infiltrazione mafiosa di cui all'articolo 84, comma 4, del medesimo codice</w:t>
      </w:r>
      <w:r>
        <w:rPr>
          <w:rStyle w:val="Rimandonotaapidipagina"/>
          <w:sz w:val="22"/>
          <w:szCs w:val="22"/>
        </w:rPr>
        <w:footnoteReference w:id="2"/>
      </w:r>
      <w:r>
        <w:rPr>
          <w:sz w:val="22"/>
          <w:szCs w:val="22"/>
        </w:rPr>
        <w:t>. (</w:t>
      </w:r>
      <w:r>
        <w:rPr>
          <w:b/>
          <w:sz w:val="22"/>
          <w:szCs w:val="22"/>
        </w:rPr>
        <w:t>art. 94, comma 2</w:t>
      </w:r>
      <w:r>
        <w:rPr>
          <w:sz w:val="22"/>
          <w:szCs w:val="22"/>
        </w:rPr>
        <w:t>);</w:t>
      </w:r>
    </w:p>
    <w:p w14:paraId="7D3D1975" w14:textId="77777777" w:rsidR="005D5842" w:rsidRDefault="005D5842">
      <w:pPr>
        <w:tabs>
          <w:tab w:val="left" w:pos="9639"/>
          <w:tab w:val="left" w:pos="10076"/>
          <w:tab w:val="left" w:pos="10992"/>
          <w:tab w:val="left" w:pos="11908"/>
          <w:tab w:val="left" w:pos="12824"/>
          <w:tab w:val="left" w:pos="13740"/>
          <w:tab w:val="left" w:pos="14656"/>
        </w:tabs>
        <w:jc w:val="both"/>
        <w:rPr>
          <w:sz w:val="22"/>
          <w:szCs w:val="22"/>
        </w:rPr>
      </w:pPr>
    </w:p>
    <w:p w14:paraId="2C06ABB8" w14:textId="77777777" w:rsidR="005D5842" w:rsidRDefault="00000000">
      <w:pPr>
        <w:tabs>
          <w:tab w:val="left" w:pos="9639"/>
          <w:tab w:val="left" w:pos="10076"/>
          <w:tab w:val="left" w:pos="10992"/>
          <w:tab w:val="left" w:pos="11908"/>
          <w:tab w:val="left" w:pos="12824"/>
          <w:tab w:val="left" w:pos="13740"/>
          <w:tab w:val="left" w:pos="14656"/>
        </w:tabs>
        <w:jc w:val="lowKashida"/>
        <w:rPr>
          <w:sz w:val="22"/>
          <w:szCs w:val="22"/>
        </w:rPr>
      </w:pPr>
      <w:r>
        <w:rPr>
          <w:sz w:val="22"/>
          <w:szCs w:val="22"/>
        </w:rPr>
        <w:t xml:space="preserve">□ </w:t>
      </w:r>
      <w:r>
        <w:rPr>
          <w:b/>
          <w:bCs/>
          <w:sz w:val="22"/>
          <w:szCs w:val="22"/>
        </w:rPr>
        <w:t>3)</w:t>
      </w:r>
      <w:r>
        <w:rPr>
          <w:sz w:val="22"/>
          <w:szCs w:val="22"/>
        </w:rPr>
        <w:t xml:space="preserve"> </w:t>
      </w:r>
    </w:p>
    <w:p w14:paraId="16F68265" w14:textId="77777777" w:rsidR="005D5842" w:rsidRDefault="00000000">
      <w:pPr>
        <w:pStyle w:val="Paragrafoelenco"/>
        <w:numPr>
          <w:ilvl w:val="0"/>
          <w:numId w:val="9"/>
        </w:numPr>
        <w:tabs>
          <w:tab w:val="left" w:pos="9639"/>
          <w:tab w:val="left" w:pos="10076"/>
          <w:tab w:val="left" w:pos="10992"/>
          <w:tab w:val="left" w:pos="11908"/>
          <w:tab w:val="left" w:pos="12824"/>
          <w:tab w:val="left" w:pos="13740"/>
          <w:tab w:val="left" w:pos="14656"/>
        </w:tabs>
        <w:spacing w:after="0"/>
        <w:ind w:left="850" w:hanging="425"/>
        <w:jc w:val="lowKashida"/>
        <w:rPr>
          <w:rFonts w:ascii="Times New Roman" w:hAnsi="Times New Roman" w:cs="Times New Roman"/>
        </w:rPr>
      </w:pPr>
      <w:r>
        <w:rPr>
          <w:rFonts w:ascii="Times New Roman" w:hAnsi="Times New Roman" w:cs="Times New Roman"/>
        </w:rPr>
        <w:t>che non è stato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 (</w:t>
      </w:r>
      <w:r>
        <w:rPr>
          <w:rFonts w:ascii="Times New Roman" w:hAnsi="Times New Roman" w:cs="Times New Roman"/>
          <w:b/>
          <w:bCs/>
        </w:rPr>
        <w:t>art.94, comma 5, lett.a</w:t>
      </w:r>
      <w:r>
        <w:rPr>
          <w:rFonts w:ascii="Times New Roman" w:hAnsi="Times New Roman" w:cs="Times New Roman"/>
        </w:rPr>
        <w:t>);</w:t>
      </w:r>
    </w:p>
    <w:p w14:paraId="09F51A49" w14:textId="77777777" w:rsidR="005D5842" w:rsidRDefault="00000000">
      <w:pPr>
        <w:pStyle w:val="Paragrafoelenco"/>
        <w:numPr>
          <w:ilvl w:val="0"/>
          <w:numId w:val="9"/>
        </w:numPr>
        <w:tabs>
          <w:tab w:val="left" w:pos="9639"/>
          <w:tab w:val="left" w:pos="10076"/>
          <w:tab w:val="left" w:pos="10992"/>
          <w:tab w:val="left" w:pos="11908"/>
          <w:tab w:val="left" w:pos="12824"/>
          <w:tab w:val="left" w:pos="13740"/>
          <w:tab w:val="left" w:pos="14656"/>
        </w:tabs>
        <w:spacing w:after="0"/>
        <w:ind w:left="850" w:hanging="425"/>
        <w:jc w:val="lowKashida"/>
        <w:rPr>
          <w:rFonts w:ascii="Times New Roman" w:hAnsi="Times New Roman" w:cs="Times New Roman"/>
        </w:rPr>
      </w:pPr>
      <w:r>
        <w:rPr>
          <w:rFonts w:ascii="Times New Roman" w:hAnsi="Times New Roman" w:cs="Times New Roman"/>
        </w:rPr>
        <w:lastRenderedPageBreak/>
        <w:t>che ha presentato la certificazione di cui all'articolo 17 della legge 12 marzo 1999, n. 68, ovvero che ha presentato dichiarazione sostitutiva della sussistenza del medesimo requisito (</w:t>
      </w:r>
      <w:r>
        <w:rPr>
          <w:rFonts w:ascii="Times New Roman" w:hAnsi="Times New Roman" w:cs="Times New Roman"/>
          <w:b/>
          <w:bCs/>
        </w:rPr>
        <w:t>art.94, comma 5, lett.b</w:t>
      </w:r>
      <w:r>
        <w:rPr>
          <w:rFonts w:ascii="Times New Roman" w:hAnsi="Times New Roman" w:cs="Times New Roman"/>
        </w:rPr>
        <w:t>)</w:t>
      </w:r>
      <w:r>
        <w:rPr>
          <w:rStyle w:val="Rimandonotaapidipagina"/>
          <w:rFonts w:ascii="Times New Roman" w:hAnsi="Times New Roman" w:cs="Times New Roman"/>
        </w:rPr>
        <w:footnoteReference w:id="3"/>
      </w:r>
      <w:r>
        <w:rPr>
          <w:rFonts w:ascii="Times New Roman" w:hAnsi="Times New Roman" w:cs="Times New Roman"/>
        </w:rPr>
        <w:t>;</w:t>
      </w:r>
    </w:p>
    <w:p w14:paraId="1AFE21D6" w14:textId="77777777" w:rsidR="005D5842" w:rsidRDefault="00000000">
      <w:pPr>
        <w:pStyle w:val="Paragrafoelenco"/>
        <w:numPr>
          <w:ilvl w:val="0"/>
          <w:numId w:val="9"/>
        </w:numPr>
        <w:tabs>
          <w:tab w:val="left" w:pos="9639"/>
          <w:tab w:val="left" w:pos="10076"/>
          <w:tab w:val="left" w:pos="10992"/>
          <w:tab w:val="left" w:pos="11908"/>
          <w:tab w:val="left" w:pos="12824"/>
          <w:tab w:val="left" w:pos="13740"/>
          <w:tab w:val="left" w:pos="14656"/>
        </w:tabs>
        <w:spacing w:after="0"/>
        <w:ind w:left="850" w:hanging="425"/>
        <w:jc w:val="lowKashida"/>
        <w:rPr>
          <w:rFonts w:ascii="Times New Roman" w:hAnsi="Times New Roman" w:cs="Times New Roman"/>
        </w:rPr>
      </w:pPr>
      <w:r>
        <w:rPr>
          <w:rFonts w:ascii="Times New Roman" w:hAnsi="Times New Roman" w:cs="Times New Roman"/>
        </w:rPr>
        <w:t>che non è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 (</w:t>
      </w:r>
      <w:r>
        <w:rPr>
          <w:rFonts w:ascii="Times New Roman" w:hAnsi="Times New Roman" w:cs="Times New Roman"/>
          <w:b/>
          <w:bCs/>
        </w:rPr>
        <w:t>art.94, comma 5, lett.d</w:t>
      </w:r>
      <w:r>
        <w:rPr>
          <w:rFonts w:ascii="Times New Roman" w:hAnsi="Times New Roman" w:cs="Times New Roman"/>
        </w:rPr>
        <w:t>);</w:t>
      </w:r>
    </w:p>
    <w:p w14:paraId="2264D4E1" w14:textId="77777777" w:rsidR="005D5842" w:rsidRDefault="00000000">
      <w:pPr>
        <w:pStyle w:val="Paragrafoelenco"/>
        <w:numPr>
          <w:ilvl w:val="0"/>
          <w:numId w:val="9"/>
        </w:numPr>
        <w:tabs>
          <w:tab w:val="left" w:pos="9639"/>
          <w:tab w:val="left" w:pos="10076"/>
          <w:tab w:val="left" w:pos="10992"/>
          <w:tab w:val="left" w:pos="11908"/>
          <w:tab w:val="left" w:pos="12824"/>
          <w:tab w:val="left" w:pos="13740"/>
          <w:tab w:val="left" w:pos="14656"/>
        </w:tabs>
        <w:spacing w:after="0"/>
        <w:ind w:left="850" w:hanging="425"/>
        <w:jc w:val="lowKashida"/>
        <w:rPr>
          <w:rFonts w:ascii="Times New Roman" w:hAnsi="Times New Roman" w:cs="Times New Roman"/>
        </w:rPr>
      </w:pPr>
      <w:r>
        <w:rPr>
          <w:rFonts w:ascii="Times New Roman" w:hAnsi="Times New Roman" w:cs="Times New Roman"/>
        </w:rPr>
        <w:t>che non è stato iscritto nel casellario informatico tenuto dall'ANAC per aver presentato false dichiarazioni o falsa documentazione nelle procedure di gara e negli affidamenti di subappalti; la causa di esclusione perdura fino a quando opera l'iscrizione nel casellario informatico (</w:t>
      </w:r>
      <w:r>
        <w:rPr>
          <w:rFonts w:ascii="Times New Roman" w:hAnsi="Times New Roman" w:cs="Times New Roman"/>
          <w:b/>
          <w:bCs/>
        </w:rPr>
        <w:t>art.94, comma 5, lett.e</w:t>
      </w:r>
      <w:r>
        <w:rPr>
          <w:rFonts w:ascii="Times New Roman" w:hAnsi="Times New Roman" w:cs="Times New Roman"/>
        </w:rPr>
        <w:t>);</w:t>
      </w:r>
    </w:p>
    <w:p w14:paraId="11476FD1" w14:textId="77777777" w:rsidR="005D5842" w:rsidRDefault="00000000">
      <w:pPr>
        <w:pStyle w:val="Paragrafoelenco"/>
        <w:numPr>
          <w:ilvl w:val="0"/>
          <w:numId w:val="9"/>
        </w:numPr>
        <w:tabs>
          <w:tab w:val="left" w:pos="9639"/>
          <w:tab w:val="left" w:pos="10076"/>
          <w:tab w:val="left" w:pos="10992"/>
          <w:tab w:val="left" w:pos="11908"/>
          <w:tab w:val="left" w:pos="12824"/>
          <w:tab w:val="left" w:pos="13740"/>
          <w:tab w:val="left" w:pos="14656"/>
        </w:tabs>
        <w:ind w:left="851" w:hanging="425"/>
        <w:jc w:val="lowKashida"/>
        <w:rPr>
          <w:rFonts w:ascii="Times New Roman" w:hAnsi="Times New Roman" w:cs="Times New Roman"/>
        </w:rPr>
      </w:pPr>
      <w:r>
        <w:rPr>
          <w:rFonts w:ascii="Times New Roman" w:hAnsi="Times New Roman" w:cs="Times New Roman"/>
        </w:rPr>
        <w:t>(</w:t>
      </w:r>
      <w:r>
        <w:rPr>
          <w:rFonts w:ascii="Times New Roman" w:hAnsi="Times New Roman" w:cs="Times New Roman"/>
          <w:i/>
          <w:iCs/>
        </w:rPr>
        <w:t xml:space="preserve">solo per lavori pubblici) </w:t>
      </w:r>
      <w:r>
        <w:rPr>
          <w:rFonts w:ascii="Times New Roman" w:hAnsi="Times New Roman" w:cs="Times New Roman"/>
        </w:rPr>
        <w:t>che non è stato iscritto nel casellario informatico tenuto dall'ANAC per aver presentato false dichiarazioni o falsa documentazione ai fini del rilascio dell'attestazione di qualificazione, per il periodo durante il quale perdura l'iscrizione (</w:t>
      </w:r>
      <w:r>
        <w:rPr>
          <w:rFonts w:ascii="Times New Roman" w:hAnsi="Times New Roman" w:cs="Times New Roman"/>
          <w:b/>
          <w:bCs/>
        </w:rPr>
        <w:t>art.94, comma 5, lett.f</w:t>
      </w:r>
      <w:r>
        <w:rPr>
          <w:rFonts w:ascii="Times New Roman" w:hAnsi="Times New Roman" w:cs="Times New Roman"/>
        </w:rPr>
        <w:t>).</w:t>
      </w:r>
    </w:p>
    <w:p w14:paraId="7C99619D" w14:textId="77777777" w:rsidR="005D5842" w:rsidRDefault="00000000">
      <w:pPr>
        <w:tabs>
          <w:tab w:val="left" w:pos="9639"/>
          <w:tab w:val="left" w:pos="10076"/>
          <w:tab w:val="left" w:pos="10992"/>
          <w:tab w:val="left" w:pos="11908"/>
          <w:tab w:val="left" w:pos="12824"/>
          <w:tab w:val="left" w:pos="13740"/>
          <w:tab w:val="left" w:pos="14656"/>
        </w:tabs>
        <w:jc w:val="both"/>
        <w:rPr>
          <w:sz w:val="22"/>
          <w:szCs w:val="22"/>
        </w:rPr>
      </w:pPr>
      <w:r>
        <w:rPr>
          <w:b/>
          <w:sz w:val="22"/>
          <w:szCs w:val="22"/>
        </w:rPr>
        <w:t>3)</w:t>
      </w:r>
      <w:r>
        <w:rPr>
          <w:sz w:val="22"/>
          <w:szCs w:val="22"/>
        </w:rPr>
        <w:t xml:space="preserve"> che non ha commesso violazioni gravi, definitivamente accertate, degli obblighi relativi al pagamento delle imposte e tasse o dei contributi previdenziali, secondo la legislazione italiana o quella dello Stato in cui sono stabiliti</w:t>
      </w:r>
      <w:r>
        <w:rPr>
          <w:rStyle w:val="Rimandonotaapidipagina"/>
          <w:sz w:val="22"/>
          <w:szCs w:val="22"/>
        </w:rPr>
        <w:footnoteReference w:id="4"/>
      </w:r>
      <w:r>
        <w:rPr>
          <w:sz w:val="22"/>
          <w:szCs w:val="22"/>
        </w:rPr>
        <w:t>(</w:t>
      </w:r>
      <w:r>
        <w:rPr>
          <w:b/>
          <w:sz w:val="22"/>
          <w:szCs w:val="22"/>
        </w:rPr>
        <w:t>art. 94, comma 6</w:t>
      </w:r>
      <w:r>
        <w:rPr>
          <w:sz w:val="22"/>
          <w:szCs w:val="22"/>
        </w:rPr>
        <w:t>);</w:t>
      </w:r>
    </w:p>
    <w:p w14:paraId="2342C92F" w14:textId="77777777" w:rsidR="005D5842" w:rsidRDefault="005D5842">
      <w:pPr>
        <w:tabs>
          <w:tab w:val="left" w:pos="9639"/>
          <w:tab w:val="left" w:pos="10076"/>
          <w:tab w:val="left" w:pos="10992"/>
          <w:tab w:val="left" w:pos="11908"/>
          <w:tab w:val="left" w:pos="12824"/>
          <w:tab w:val="left" w:pos="13740"/>
          <w:tab w:val="left" w:pos="14656"/>
        </w:tabs>
        <w:jc w:val="both"/>
        <w:rPr>
          <w:sz w:val="22"/>
          <w:szCs w:val="22"/>
        </w:rPr>
      </w:pPr>
    </w:p>
    <w:p w14:paraId="542CE15F" w14:textId="77777777" w:rsidR="005D5842" w:rsidRDefault="00000000">
      <w:pPr>
        <w:tabs>
          <w:tab w:val="left" w:pos="9639"/>
          <w:tab w:val="left" w:pos="10076"/>
          <w:tab w:val="left" w:pos="10992"/>
          <w:tab w:val="left" w:pos="11908"/>
          <w:tab w:val="left" w:pos="12824"/>
          <w:tab w:val="left" w:pos="13740"/>
          <w:tab w:val="left" w:pos="14656"/>
        </w:tabs>
        <w:jc w:val="both"/>
        <w:rPr>
          <w:sz w:val="22"/>
          <w:szCs w:val="22"/>
        </w:rPr>
      </w:pPr>
      <w:r>
        <w:rPr>
          <w:b/>
          <w:bCs/>
          <w:sz w:val="22"/>
          <w:szCs w:val="22"/>
        </w:rPr>
        <w:t xml:space="preserve">Il sottoscritto dichiara, altresì, sempre ai sensi dell’art.76 del D.P.R. n. 445/2000 </w:t>
      </w:r>
      <w:r>
        <w:rPr>
          <w:b/>
          <w:bCs/>
          <w:sz w:val="22"/>
          <w:szCs w:val="22"/>
          <w:u w:val="single"/>
        </w:rPr>
        <w:t>di</w:t>
      </w:r>
      <w:r>
        <w:rPr>
          <w:b/>
          <w:sz w:val="22"/>
          <w:szCs w:val="22"/>
          <w:u w:val="single"/>
        </w:rPr>
        <w:t xml:space="preserve"> non trovarsi in alcuna delle cause  di esclusione di cui all’art. 95 del D. Lgs. 36/2023 intitolato “Cause di esclusione NON automatica” ed in particolare (barrare con “X”):</w:t>
      </w:r>
    </w:p>
    <w:p w14:paraId="58CED66C" w14:textId="77777777" w:rsidR="005D5842" w:rsidRDefault="005D5842">
      <w:pPr>
        <w:tabs>
          <w:tab w:val="left" w:pos="9639"/>
          <w:tab w:val="left" w:pos="10076"/>
          <w:tab w:val="left" w:pos="10992"/>
          <w:tab w:val="left" w:pos="11908"/>
          <w:tab w:val="left" w:pos="12824"/>
          <w:tab w:val="left" w:pos="13740"/>
          <w:tab w:val="left" w:pos="14656"/>
        </w:tabs>
        <w:jc w:val="both"/>
        <w:rPr>
          <w:sz w:val="22"/>
          <w:szCs w:val="22"/>
        </w:rPr>
      </w:pPr>
    </w:p>
    <w:p w14:paraId="1204D011" w14:textId="77777777" w:rsidR="005D5842" w:rsidRDefault="00000000">
      <w:pPr>
        <w:tabs>
          <w:tab w:val="left" w:pos="9639"/>
          <w:tab w:val="left" w:pos="10076"/>
          <w:tab w:val="left" w:pos="10992"/>
          <w:tab w:val="left" w:pos="11908"/>
          <w:tab w:val="left" w:pos="12824"/>
          <w:tab w:val="left" w:pos="13740"/>
          <w:tab w:val="left" w:pos="14656"/>
        </w:tabs>
        <w:jc w:val="both"/>
        <w:rPr>
          <w:b/>
          <w:bCs/>
          <w:sz w:val="22"/>
          <w:szCs w:val="22"/>
        </w:rPr>
      </w:pPr>
      <w:r>
        <w:rPr>
          <w:b/>
          <w:bCs/>
          <w:sz w:val="22"/>
          <w:szCs w:val="22"/>
        </w:rPr>
        <w:t xml:space="preserve">□ 1) </w:t>
      </w:r>
    </w:p>
    <w:p w14:paraId="5DAEE60E" w14:textId="77777777" w:rsidR="005D5842" w:rsidRDefault="00000000">
      <w:pPr>
        <w:pStyle w:val="Paragrafoelenco"/>
        <w:numPr>
          <w:ilvl w:val="0"/>
          <w:numId w:val="19"/>
        </w:numPr>
        <w:tabs>
          <w:tab w:val="left" w:pos="9639"/>
          <w:tab w:val="left" w:pos="10076"/>
          <w:tab w:val="left" w:pos="10992"/>
          <w:tab w:val="left" w:pos="11908"/>
          <w:tab w:val="left" w:pos="12824"/>
          <w:tab w:val="left" w:pos="13740"/>
          <w:tab w:val="left" w:pos="14656"/>
        </w:tabs>
        <w:spacing w:after="0"/>
        <w:ind w:left="714" w:hanging="357"/>
        <w:jc w:val="lowKashida"/>
        <w:rPr>
          <w:rFonts w:ascii="Times New Roman" w:hAnsi="Times New Roman" w:cs="Times New Roman"/>
        </w:rPr>
      </w:pPr>
      <w:r>
        <w:rPr>
          <w:rFonts w:ascii="Times New Roman" w:hAnsi="Times New Roman" w:cs="Times New Roman"/>
        </w:rPr>
        <w:lastRenderedPageBreak/>
        <w:t>che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Pr>
          <w:rFonts w:ascii="Times New Roman" w:hAnsi="Times New Roman" w:cs="Times New Roman"/>
          <w:b/>
          <w:bCs/>
        </w:rPr>
        <w:t>art. 95, comma 1, lett.a</w:t>
      </w:r>
      <w:r>
        <w:rPr>
          <w:rFonts w:ascii="Times New Roman" w:hAnsi="Times New Roman" w:cs="Times New Roman"/>
        </w:rPr>
        <w:t>);</w:t>
      </w:r>
    </w:p>
    <w:p w14:paraId="19BC84AD" w14:textId="77777777" w:rsidR="005D5842" w:rsidRDefault="00000000">
      <w:pPr>
        <w:pStyle w:val="Paragrafoelenco"/>
        <w:numPr>
          <w:ilvl w:val="0"/>
          <w:numId w:val="19"/>
        </w:numPr>
        <w:tabs>
          <w:tab w:val="left" w:pos="9639"/>
          <w:tab w:val="left" w:pos="10076"/>
          <w:tab w:val="left" w:pos="10992"/>
          <w:tab w:val="left" w:pos="11908"/>
          <w:tab w:val="left" w:pos="12824"/>
          <w:tab w:val="left" w:pos="13740"/>
          <w:tab w:val="left" w:pos="14656"/>
        </w:tabs>
        <w:spacing w:after="0"/>
        <w:ind w:left="714" w:hanging="357"/>
        <w:jc w:val="lowKashida"/>
        <w:rPr>
          <w:rFonts w:ascii="Times New Roman" w:hAnsi="Times New Roman" w:cs="Times New Roman"/>
        </w:rPr>
      </w:pPr>
      <w:r>
        <w:rPr>
          <w:rFonts w:ascii="Times New Roman" w:hAnsi="Times New Roman" w:cs="Times New Roman"/>
        </w:rPr>
        <w:t>che la partecipazione alla procedura di affidamento /gara di cui trattasi non ha determinato una situazione di conflitto di interesse di cui all’articolo 16 non diversamente risolvibile (</w:t>
      </w:r>
      <w:r>
        <w:rPr>
          <w:rFonts w:ascii="Times New Roman" w:hAnsi="Times New Roman" w:cs="Times New Roman"/>
          <w:b/>
          <w:bCs/>
        </w:rPr>
        <w:t>art. 95, comma 1, lett.b</w:t>
      </w:r>
      <w:r>
        <w:rPr>
          <w:rFonts w:ascii="Times New Roman" w:hAnsi="Times New Roman" w:cs="Times New Roman"/>
        </w:rPr>
        <w:t>);</w:t>
      </w:r>
    </w:p>
    <w:p w14:paraId="703A8F4D" w14:textId="77777777" w:rsidR="005D5842" w:rsidRDefault="00000000">
      <w:pPr>
        <w:pStyle w:val="Paragrafoelenco"/>
        <w:numPr>
          <w:ilvl w:val="0"/>
          <w:numId w:val="19"/>
        </w:numPr>
        <w:tabs>
          <w:tab w:val="left" w:pos="9639"/>
          <w:tab w:val="left" w:pos="10076"/>
          <w:tab w:val="left" w:pos="10992"/>
          <w:tab w:val="left" w:pos="11908"/>
          <w:tab w:val="left" w:pos="12824"/>
          <w:tab w:val="left" w:pos="13740"/>
          <w:tab w:val="left" w:pos="14656"/>
        </w:tabs>
        <w:spacing w:after="0"/>
        <w:ind w:left="714" w:hanging="357"/>
        <w:jc w:val="lowKashida"/>
        <w:rPr>
          <w:rFonts w:ascii="Times New Roman" w:hAnsi="Times New Roman" w:cs="Times New Roman"/>
        </w:rPr>
      </w:pPr>
      <w:r>
        <w:rPr>
          <w:rFonts w:ascii="Times New Roman" w:hAnsi="Times New Roman" w:cs="Times New Roman"/>
        </w:rPr>
        <w:t>che non sussiste una distorsione della concorrenza non essendo stato coinvolto nella preparazione della procedura d'appalto (</w:t>
      </w:r>
      <w:r>
        <w:rPr>
          <w:rFonts w:ascii="Times New Roman" w:hAnsi="Times New Roman" w:cs="Times New Roman"/>
          <w:b/>
          <w:bCs/>
        </w:rPr>
        <w:t>art. 95, comma 1, lett.c</w:t>
      </w:r>
      <w:r>
        <w:rPr>
          <w:rFonts w:ascii="Times New Roman" w:hAnsi="Times New Roman" w:cs="Times New Roman"/>
        </w:rPr>
        <w:t>);</w:t>
      </w:r>
    </w:p>
    <w:p w14:paraId="11986E7E" w14:textId="77777777" w:rsidR="005D5842" w:rsidRDefault="00000000">
      <w:pPr>
        <w:pStyle w:val="Paragrafoelenco"/>
        <w:numPr>
          <w:ilvl w:val="0"/>
          <w:numId w:val="19"/>
        </w:numPr>
        <w:tabs>
          <w:tab w:val="left" w:pos="9639"/>
          <w:tab w:val="left" w:pos="10076"/>
          <w:tab w:val="left" w:pos="10992"/>
          <w:tab w:val="left" w:pos="11908"/>
          <w:tab w:val="left" w:pos="12824"/>
          <w:tab w:val="left" w:pos="13740"/>
          <w:tab w:val="left" w:pos="14656"/>
        </w:tabs>
        <w:spacing w:after="0"/>
        <w:ind w:left="714" w:hanging="357"/>
        <w:jc w:val="lowKashida"/>
        <w:rPr>
          <w:rFonts w:ascii="Times New Roman" w:hAnsi="Times New Roman" w:cs="Times New Roman"/>
        </w:rPr>
      </w:pPr>
      <w:r>
        <w:rPr>
          <w:rFonts w:ascii="Times New Roman" w:hAnsi="Times New Roman" w:cs="Times New Roman"/>
        </w:rPr>
        <w:t>che l’offerta presentata non è imputabile ad un unico centro decisionale a cagione di accordi intercorsi con altri operatori economici partecipanti alla stessa gara (</w:t>
      </w:r>
      <w:r>
        <w:rPr>
          <w:rFonts w:ascii="Times New Roman" w:hAnsi="Times New Roman" w:cs="Times New Roman"/>
          <w:b/>
          <w:bCs/>
        </w:rPr>
        <w:t>art.95, comma 1, lett.d</w:t>
      </w:r>
      <w:r>
        <w:rPr>
          <w:rFonts w:ascii="Times New Roman" w:hAnsi="Times New Roman" w:cs="Times New Roman"/>
        </w:rPr>
        <w:t>);</w:t>
      </w:r>
    </w:p>
    <w:p w14:paraId="1FD39272" w14:textId="77777777" w:rsidR="005D5842" w:rsidRDefault="00000000">
      <w:pPr>
        <w:pStyle w:val="Paragrafoelenco"/>
        <w:numPr>
          <w:ilvl w:val="0"/>
          <w:numId w:val="19"/>
        </w:numPr>
        <w:tabs>
          <w:tab w:val="left" w:pos="9639"/>
          <w:tab w:val="left" w:pos="10076"/>
          <w:tab w:val="left" w:pos="10992"/>
          <w:tab w:val="left" w:pos="11908"/>
          <w:tab w:val="left" w:pos="12824"/>
          <w:tab w:val="left" w:pos="13740"/>
          <w:tab w:val="left" w:pos="14656"/>
        </w:tabs>
        <w:jc w:val="lowKashida"/>
        <w:rPr>
          <w:rFonts w:ascii="Times New Roman" w:hAnsi="Times New Roman" w:cs="Times New Roman"/>
        </w:rPr>
      </w:pPr>
      <w:r>
        <w:rPr>
          <w:rFonts w:ascii="Times New Roman" w:hAnsi="Times New Roman" w:cs="Times New Roman"/>
        </w:rPr>
        <w:t>che non ha commesso un illecito professionale grave, tale da rendere dubbia la sua integrità o affidabilità, dimostrato dalla stazione appaltante con mezzi adeguati (</w:t>
      </w:r>
      <w:r>
        <w:rPr>
          <w:rFonts w:ascii="Times New Roman" w:hAnsi="Times New Roman" w:cs="Times New Roman"/>
          <w:b/>
          <w:bCs/>
        </w:rPr>
        <w:t>art. 95, comma 1, lett. e</w:t>
      </w:r>
      <w:r>
        <w:rPr>
          <w:rFonts w:ascii="Times New Roman" w:hAnsi="Times New Roman" w:cs="Times New Roman"/>
        </w:rPr>
        <w:t xml:space="preserve">) </w:t>
      </w:r>
    </w:p>
    <w:p w14:paraId="12A5DB82" w14:textId="77777777" w:rsidR="005D5842" w:rsidRDefault="00000000">
      <w:pPr>
        <w:tabs>
          <w:tab w:val="left" w:pos="9639"/>
          <w:tab w:val="left" w:pos="10076"/>
          <w:tab w:val="left" w:pos="10992"/>
          <w:tab w:val="left" w:pos="11908"/>
          <w:tab w:val="left" w:pos="12824"/>
          <w:tab w:val="left" w:pos="13740"/>
          <w:tab w:val="left" w:pos="14656"/>
        </w:tabs>
        <w:jc w:val="both"/>
        <w:rPr>
          <w:sz w:val="22"/>
          <w:szCs w:val="22"/>
        </w:rPr>
      </w:pPr>
      <w:r>
        <w:rPr>
          <w:b/>
          <w:bCs/>
          <w:sz w:val="22"/>
          <w:szCs w:val="22"/>
        </w:rPr>
        <w:t>□ 2)</w:t>
      </w:r>
      <w:r>
        <w:rPr>
          <w:sz w:val="22"/>
          <w:szCs w:val="22"/>
        </w:rPr>
        <w:t xml:space="preserve"> che non ha compiuto un illecito professionale grave secondo quanto previsto dall’art.98 del D. Lgs. 36/2023</w:t>
      </w:r>
      <w:r>
        <w:rPr>
          <w:rStyle w:val="Rimandonotaapidipagina"/>
          <w:sz w:val="22"/>
          <w:szCs w:val="22"/>
        </w:rPr>
        <w:footnoteReference w:id="5"/>
      </w:r>
      <w:r>
        <w:rPr>
          <w:sz w:val="22"/>
          <w:szCs w:val="22"/>
        </w:rPr>
        <w:t xml:space="preserve">. </w:t>
      </w:r>
    </w:p>
    <w:p w14:paraId="7FE2D7A0" w14:textId="77777777" w:rsidR="005D5842" w:rsidRDefault="00000000">
      <w:pPr>
        <w:tabs>
          <w:tab w:val="left" w:pos="9639"/>
          <w:tab w:val="left" w:pos="10076"/>
          <w:tab w:val="left" w:pos="10992"/>
          <w:tab w:val="left" w:pos="11908"/>
          <w:tab w:val="left" w:pos="12824"/>
          <w:tab w:val="left" w:pos="13740"/>
          <w:tab w:val="left" w:pos="14656"/>
        </w:tabs>
        <w:jc w:val="center"/>
        <w:rPr>
          <w:b/>
          <w:bCs/>
          <w:sz w:val="22"/>
          <w:szCs w:val="22"/>
        </w:rPr>
      </w:pPr>
      <w:r>
        <w:rPr>
          <w:b/>
          <w:bCs/>
          <w:sz w:val="22"/>
          <w:szCs w:val="22"/>
        </w:rPr>
        <w:lastRenderedPageBreak/>
        <w:t>DICHIARA</w:t>
      </w:r>
    </w:p>
    <w:p w14:paraId="3C770751" w14:textId="77777777" w:rsidR="005D5842" w:rsidRDefault="005D5842">
      <w:pPr>
        <w:pStyle w:val="sche3"/>
        <w:ind w:left="720"/>
        <w:rPr>
          <w:sz w:val="22"/>
          <w:szCs w:val="22"/>
          <w:lang w:val="it-IT"/>
        </w:rPr>
      </w:pPr>
    </w:p>
    <w:p w14:paraId="3D60815F" w14:textId="77777777" w:rsidR="005D5842" w:rsidRDefault="00000000">
      <w:pPr>
        <w:pStyle w:val="Paragrafoelenco"/>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284" w:hanging="284"/>
        <w:contextualSpacing/>
        <w:jc w:val="both"/>
        <w:rPr>
          <w:rFonts w:ascii="Times New Roman" w:hAnsi="Times New Roman" w:cs="Times New Roman"/>
        </w:rPr>
      </w:pPr>
      <w:r>
        <w:rPr>
          <w:rFonts w:ascii="Times New Roman" w:hAnsi="Times New Roman" w:cs="Times New Roman"/>
        </w:rPr>
        <w:t xml:space="preserve">di essere in possesso dei </w:t>
      </w:r>
      <w:r>
        <w:rPr>
          <w:rFonts w:ascii="Times New Roman" w:hAnsi="Times New Roman" w:cs="Times New Roman"/>
          <w:b/>
          <w:bCs/>
        </w:rPr>
        <w:t>REQUISITI DI ORDINE SPECIALE</w:t>
      </w:r>
      <w:r>
        <w:rPr>
          <w:rFonts w:ascii="Times New Roman" w:hAnsi="Times New Roman" w:cs="Times New Roman"/>
        </w:rPr>
        <w:t xml:space="preserve"> (idoneità professionale, capacità economica e finanziaria e capacità tecniche e professionali) previsti dall’articolo 100 del D.Lgs. 36/2023</w:t>
      </w:r>
      <w:r>
        <w:rPr>
          <w:rStyle w:val="Rimandonotaapidipagina"/>
          <w:rFonts w:ascii="Times New Roman" w:hAnsi="Times New Roman" w:cs="Times New Roman"/>
        </w:rPr>
        <w:footnoteReference w:id="6"/>
      </w:r>
      <w:r>
        <w:rPr>
          <w:rFonts w:ascii="Times New Roman" w:hAnsi="Times New Roman" w:cs="Times New Roman"/>
        </w:rPr>
        <w:t xml:space="preserve"> </w:t>
      </w:r>
      <w:r>
        <w:rPr>
          <w:rFonts w:ascii="Times New Roman" w:hAnsi="Times New Roman" w:cs="Times New Roman"/>
        </w:rPr>
        <w:lastRenderedPageBreak/>
        <w:t>ovvero, di essere iscritto nel registro della camera di commercio, industria, artigianato e agricoltura o nel registro delle commissioni provinciali per l'artigianato o presso i competenti ordini professionali per un'attività pertinente anche se non coincidente con l'oggetto dell'appalto. Segnatamente dichiara che:</w:t>
      </w:r>
    </w:p>
    <w:p w14:paraId="3A4FF646" w14:textId="77777777" w:rsidR="005D5842" w:rsidRDefault="005D5842">
      <w:pPr>
        <w:pStyle w:val="Paragrafoelenco"/>
        <w:ind w:left="0"/>
        <w:jc w:val="both"/>
        <w:rPr>
          <w:rFonts w:ascii="Times New Roman" w:hAnsi="Times New Roman" w:cs="Times New Roman"/>
        </w:rPr>
      </w:pPr>
    </w:p>
    <w:p w14:paraId="28A7B053" w14:textId="77777777" w:rsidR="005D5842" w:rsidRDefault="00000000">
      <w:pPr>
        <w:pStyle w:val="Paragrafoelenco"/>
        <w:numPr>
          <w:ilvl w:val="0"/>
          <w:numId w:val="10"/>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lastRenderedPageBreak/>
        <w:t xml:space="preserve">L'Impresa è iscritta, per attività inerenti l’oggetto della fornitura, al Registro delle Imprese </w:t>
      </w:r>
    </w:p>
    <w:p w14:paraId="44243246" w14:textId="77777777" w:rsidR="005D5842" w:rsidRDefault="00000000">
      <w:pPr>
        <w:pStyle w:val="Paragrafoelenco"/>
        <w:spacing w:line="360" w:lineRule="auto"/>
        <w:ind w:left="567" w:hanging="284"/>
        <w:jc w:val="both"/>
        <w:rPr>
          <w:rFonts w:ascii="Times New Roman" w:hAnsi="Times New Roman" w:cs="Times New Roman"/>
        </w:rPr>
      </w:pPr>
      <w:r>
        <w:rPr>
          <w:rFonts w:ascii="Times New Roman" w:hAnsi="Times New Roman" w:cs="Times New Roman"/>
        </w:rPr>
        <w:t xml:space="preserve">presso la CCIAA di ___________________________________________________ al </w:t>
      </w:r>
    </w:p>
    <w:p w14:paraId="3BA98444" w14:textId="77777777" w:rsidR="005D5842" w:rsidRDefault="00000000">
      <w:pPr>
        <w:pStyle w:val="Paragrafoelenco"/>
        <w:spacing w:line="360" w:lineRule="auto"/>
        <w:ind w:left="567" w:hanging="284"/>
        <w:jc w:val="both"/>
        <w:rPr>
          <w:rFonts w:ascii="Times New Roman" w:hAnsi="Times New Roman" w:cs="Times New Roman"/>
        </w:rPr>
      </w:pPr>
      <w:r>
        <w:rPr>
          <w:rFonts w:ascii="Times New Roman" w:hAnsi="Times New Roman" w:cs="Times New Roman"/>
        </w:rPr>
        <w:t xml:space="preserve">n.______________________________________________ </w:t>
      </w:r>
    </w:p>
    <w:p w14:paraId="71440090" w14:textId="77777777" w:rsidR="005D5842" w:rsidRDefault="00000000">
      <w:pPr>
        <w:pStyle w:val="Paragrafoelenco"/>
        <w:numPr>
          <w:ilvl w:val="0"/>
          <w:numId w:val="10"/>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t>Gli amministratori muniti di rappresentanza sono (indicare Nome, Cognome e codice fiscale):</w:t>
      </w:r>
    </w:p>
    <w:p w14:paraId="58D688AD" w14:textId="77777777" w:rsidR="005D5842" w:rsidRDefault="00000000">
      <w:pPr>
        <w:pStyle w:val="Paragrafoelenco"/>
        <w:numPr>
          <w:ilvl w:val="0"/>
          <w:numId w:val="15"/>
        </w:numPr>
        <w:suppressAutoHyphens w:val="0"/>
        <w:spacing w:after="160" w:line="360" w:lineRule="auto"/>
        <w:ind w:left="567" w:hanging="284"/>
        <w:contextualSpacing/>
        <w:jc w:val="both"/>
        <w:rPr>
          <w:rFonts w:ascii="Times New Roman" w:hAnsi="Times New Roman" w:cs="Times New Roman"/>
        </w:rPr>
      </w:pPr>
      <w:r>
        <w:rPr>
          <w:rFonts w:ascii="Times New Roman" w:hAnsi="Times New Roman" w:cs="Times New Roman"/>
        </w:rPr>
        <w:t>_____________________________________________</w:t>
      </w:r>
    </w:p>
    <w:p w14:paraId="39463222" w14:textId="77777777" w:rsidR="005D5842" w:rsidRDefault="00000000">
      <w:pPr>
        <w:pStyle w:val="Paragrafoelenco"/>
        <w:numPr>
          <w:ilvl w:val="0"/>
          <w:numId w:val="15"/>
        </w:numPr>
        <w:suppressAutoHyphens w:val="0"/>
        <w:spacing w:after="160" w:line="360" w:lineRule="auto"/>
        <w:ind w:left="567" w:hanging="284"/>
        <w:contextualSpacing/>
        <w:jc w:val="both"/>
        <w:rPr>
          <w:rFonts w:ascii="Times New Roman" w:hAnsi="Times New Roman" w:cs="Times New Roman"/>
        </w:rPr>
      </w:pPr>
      <w:r>
        <w:rPr>
          <w:rFonts w:ascii="Times New Roman" w:hAnsi="Times New Roman" w:cs="Times New Roman"/>
        </w:rPr>
        <w:t xml:space="preserve">_____________________________________________ </w:t>
      </w:r>
    </w:p>
    <w:p w14:paraId="54FE21A9" w14:textId="77777777" w:rsidR="005D5842" w:rsidRDefault="005D5842">
      <w:pPr>
        <w:pStyle w:val="Paragrafoelenco"/>
        <w:ind w:left="284" w:hanging="284"/>
        <w:jc w:val="both"/>
        <w:rPr>
          <w:rFonts w:ascii="Times New Roman" w:hAnsi="Times New Roman" w:cs="Times New Roman"/>
        </w:rPr>
      </w:pPr>
    </w:p>
    <w:p w14:paraId="345E2C08" w14:textId="77777777" w:rsidR="005D5842" w:rsidRDefault="00000000">
      <w:pPr>
        <w:pStyle w:val="Paragrafoelenco"/>
        <w:numPr>
          <w:ilvl w:val="0"/>
          <w:numId w:val="10"/>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t xml:space="preserve">L’Impresa ha n. ______________ dipendenti afferenti le seguenti posizioni: </w:t>
      </w:r>
    </w:p>
    <w:p w14:paraId="1BCC0E5E" w14:textId="77777777" w:rsidR="005D5842" w:rsidRDefault="00000000">
      <w:pPr>
        <w:pStyle w:val="Paragrafoelenco"/>
        <w:numPr>
          <w:ilvl w:val="0"/>
          <w:numId w:val="7"/>
        </w:numPr>
        <w:suppressAutoHyphens w:val="0"/>
        <w:spacing w:after="160" w:line="360" w:lineRule="auto"/>
        <w:ind w:left="567" w:hanging="284"/>
        <w:contextualSpacing/>
        <w:jc w:val="both"/>
        <w:rPr>
          <w:rFonts w:ascii="Times New Roman" w:hAnsi="Times New Roman" w:cs="Times New Roman"/>
        </w:rPr>
      </w:pPr>
      <w:r>
        <w:rPr>
          <w:rFonts w:ascii="Times New Roman" w:hAnsi="Times New Roman" w:cs="Times New Roman"/>
        </w:rPr>
        <w:t xml:space="preserve">Iscrizione INPS matricola n. _________________________ sede competente ___________________________________________ </w:t>
      </w:r>
    </w:p>
    <w:p w14:paraId="7E4FEF5B" w14:textId="77777777" w:rsidR="005D5842" w:rsidRDefault="00000000">
      <w:pPr>
        <w:pStyle w:val="Paragrafoelenco"/>
        <w:numPr>
          <w:ilvl w:val="0"/>
          <w:numId w:val="7"/>
        </w:numPr>
        <w:suppressAutoHyphens w:val="0"/>
        <w:spacing w:after="160" w:line="360" w:lineRule="auto"/>
        <w:ind w:left="567" w:hanging="284"/>
        <w:contextualSpacing/>
        <w:jc w:val="both"/>
        <w:rPr>
          <w:rFonts w:ascii="Times New Roman" w:hAnsi="Times New Roman" w:cs="Times New Roman"/>
        </w:rPr>
      </w:pPr>
      <w:r>
        <w:rPr>
          <w:rFonts w:ascii="Times New Roman" w:hAnsi="Times New Roman" w:cs="Times New Roman"/>
        </w:rPr>
        <w:t>Iscrizione INAIL codice n. ______________________________</w:t>
      </w:r>
    </w:p>
    <w:p w14:paraId="5B9E73A3" w14:textId="77777777" w:rsidR="005D5842" w:rsidRDefault="00000000">
      <w:pPr>
        <w:pStyle w:val="Paragrafoelenco"/>
        <w:numPr>
          <w:ilvl w:val="0"/>
          <w:numId w:val="7"/>
        </w:numPr>
        <w:suppressAutoHyphens w:val="0"/>
        <w:spacing w:after="160" w:line="360" w:lineRule="auto"/>
        <w:ind w:left="567" w:hanging="284"/>
        <w:contextualSpacing/>
        <w:jc w:val="both"/>
        <w:rPr>
          <w:rFonts w:ascii="Times New Roman" w:hAnsi="Times New Roman" w:cs="Times New Roman"/>
        </w:rPr>
      </w:pPr>
      <w:r>
        <w:rPr>
          <w:rFonts w:ascii="Times New Roman" w:hAnsi="Times New Roman" w:cs="Times New Roman"/>
        </w:rPr>
        <w:t>Iscrizione Cassa Edile __________________________________</w:t>
      </w:r>
    </w:p>
    <w:p w14:paraId="68C71E89" w14:textId="77777777" w:rsidR="005D5842" w:rsidRDefault="005D5842">
      <w:pPr>
        <w:pStyle w:val="Paragrafoelenco"/>
        <w:ind w:left="284" w:hanging="284"/>
        <w:rPr>
          <w:rFonts w:ascii="Times New Roman" w:hAnsi="Times New Roman" w:cs="Times New Roman"/>
        </w:rPr>
      </w:pPr>
    </w:p>
    <w:p w14:paraId="39EB644F" w14:textId="77777777" w:rsidR="005D5842" w:rsidRDefault="00000000">
      <w:pPr>
        <w:pStyle w:val="Paragrafoelenco"/>
        <w:numPr>
          <w:ilvl w:val="0"/>
          <w:numId w:val="6"/>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t>di essere in regola alla data del ___________________________ con i versamenti INPS e INAIL;</w:t>
      </w:r>
    </w:p>
    <w:p w14:paraId="1673EBD1" w14:textId="77777777" w:rsidR="005D5842" w:rsidRDefault="00000000">
      <w:pPr>
        <w:pStyle w:val="Paragrafoelenco"/>
        <w:numPr>
          <w:ilvl w:val="0"/>
          <w:numId w:val="6"/>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t>che non esistono inadempienze in atto e rettifiche notificate, non contestate o non pagate ovvero, che è stata conseguita procedura di sanatoria, positivamente definita con atto dell'ente interessato del quale si forniscono gli estremi:_____________________________________.</w:t>
      </w:r>
    </w:p>
    <w:p w14:paraId="782A5E7B" w14:textId="77777777" w:rsidR="005D5842" w:rsidRDefault="00000000">
      <w:pPr>
        <w:pStyle w:val="Paragrafoelenco"/>
        <w:numPr>
          <w:ilvl w:val="0"/>
          <w:numId w:val="6"/>
        </w:numPr>
        <w:suppressAutoHyphens w:val="0"/>
        <w:spacing w:after="160" w:line="360" w:lineRule="auto"/>
        <w:ind w:left="284" w:hanging="284"/>
        <w:contextualSpacing/>
        <w:jc w:val="both"/>
        <w:rPr>
          <w:rFonts w:ascii="Times New Roman" w:hAnsi="Times New Roman" w:cs="Times New Roman"/>
        </w:rPr>
      </w:pPr>
      <w:r>
        <w:rPr>
          <w:rFonts w:ascii="Times New Roman" w:hAnsi="Times New Roman" w:cs="Times New Roman"/>
        </w:rPr>
        <w:t>di non avere alle proprie dipendenze, ai sensi dell’art. 53 c. 16 ter del d.lgs. n. 165/2001, personale cessato dal rapporto di pubblico impiego da meno di tre anni, che abbia esercitato poteri autoritativi o negoziali per conto delle pubbliche amministrazioni;</w:t>
      </w:r>
    </w:p>
    <w:p w14:paraId="0C777F4F" w14:textId="77777777" w:rsidR="005D5842" w:rsidRDefault="005D5842">
      <w:pPr>
        <w:pStyle w:val="Paragrafoelenco"/>
        <w:ind w:left="0"/>
        <w:jc w:val="both"/>
        <w:rPr>
          <w:rFonts w:ascii="Times New Roman" w:hAnsi="Times New Roman" w:cs="Times New Roman"/>
        </w:rPr>
      </w:pPr>
    </w:p>
    <w:p w14:paraId="5F5BBF75" w14:textId="77777777" w:rsidR="005D5842" w:rsidRDefault="00000000">
      <w:pPr>
        <w:spacing w:line="360" w:lineRule="auto"/>
        <w:jc w:val="center"/>
        <w:rPr>
          <w:sz w:val="22"/>
          <w:szCs w:val="22"/>
        </w:rPr>
      </w:pPr>
      <w:r>
        <w:rPr>
          <w:b/>
          <w:bCs/>
          <w:sz w:val="22"/>
          <w:szCs w:val="22"/>
        </w:rPr>
        <w:t>COMUNICA</w:t>
      </w:r>
    </w:p>
    <w:p w14:paraId="5DCCC976" w14:textId="77777777" w:rsidR="005D5842" w:rsidRDefault="00000000">
      <w:pPr>
        <w:numPr>
          <w:ilvl w:val="0"/>
          <w:numId w:val="16"/>
        </w:numPr>
        <w:suppressAutoHyphens w:val="0"/>
        <w:spacing w:after="160" w:line="360" w:lineRule="auto"/>
        <w:ind w:left="284" w:hanging="284"/>
        <w:rPr>
          <w:sz w:val="22"/>
          <w:szCs w:val="22"/>
        </w:rPr>
      </w:pPr>
      <w:r>
        <w:rPr>
          <w:sz w:val="22"/>
          <w:szCs w:val="22"/>
        </w:rPr>
        <w:t>in attuazione dell’art. 3, comma 7, della L. 136/2010 e ss.mm.ii.:</w:t>
      </w:r>
    </w:p>
    <w:p w14:paraId="1459AB88" w14:textId="77777777" w:rsidR="005D5842" w:rsidRDefault="00000000">
      <w:pPr>
        <w:numPr>
          <w:ilvl w:val="0"/>
          <w:numId w:val="14"/>
        </w:numPr>
        <w:suppressAutoHyphens w:val="0"/>
        <w:spacing w:line="360" w:lineRule="auto"/>
        <w:ind w:left="567" w:hanging="284"/>
        <w:jc w:val="both"/>
        <w:rPr>
          <w:sz w:val="22"/>
          <w:szCs w:val="22"/>
        </w:rPr>
      </w:pPr>
      <w:r>
        <w:rPr>
          <w:sz w:val="22"/>
          <w:szCs w:val="22"/>
        </w:rPr>
        <w:t xml:space="preserve">che gli estremi del conto corrente bancario/postale dedicato ai rapporti finanziari inerenti i contratti di appalto/fornitura/prestazioni di servizi nei confronti dell’Università degli Studi di Roma “La Sapienza”, sono i seguenti: </w:t>
      </w:r>
    </w:p>
    <w:p w14:paraId="4F1636F4" w14:textId="77777777" w:rsidR="005D5842" w:rsidRDefault="00000000">
      <w:pPr>
        <w:spacing w:line="360" w:lineRule="auto"/>
        <w:ind w:left="567" w:hanging="284"/>
        <w:rPr>
          <w:sz w:val="22"/>
          <w:szCs w:val="22"/>
        </w:rPr>
      </w:pPr>
      <w:r>
        <w:rPr>
          <w:sz w:val="22"/>
          <w:szCs w:val="22"/>
        </w:rPr>
        <w:t xml:space="preserve"> </w:t>
      </w:r>
      <w:r>
        <w:rPr>
          <w:sz w:val="22"/>
          <w:szCs w:val="22"/>
        </w:rPr>
        <w:tab/>
        <w:t>IBAN      ______________________________________________</w:t>
      </w:r>
    </w:p>
    <w:p w14:paraId="22471179" w14:textId="77777777" w:rsidR="005D5842" w:rsidRDefault="005D5842">
      <w:pPr>
        <w:spacing w:line="360" w:lineRule="auto"/>
        <w:ind w:left="284" w:hanging="284"/>
        <w:rPr>
          <w:sz w:val="22"/>
          <w:szCs w:val="22"/>
        </w:rPr>
      </w:pPr>
    </w:p>
    <w:p w14:paraId="1B7618D7" w14:textId="77777777" w:rsidR="005D5842" w:rsidRDefault="00000000">
      <w:pPr>
        <w:numPr>
          <w:ilvl w:val="0"/>
          <w:numId w:val="14"/>
        </w:numPr>
        <w:suppressAutoHyphens w:val="0"/>
        <w:spacing w:line="360" w:lineRule="auto"/>
        <w:ind w:left="284" w:hanging="284"/>
        <w:rPr>
          <w:sz w:val="22"/>
          <w:szCs w:val="22"/>
        </w:rPr>
      </w:pPr>
      <w:r>
        <w:rPr>
          <w:sz w:val="22"/>
          <w:szCs w:val="22"/>
        </w:rPr>
        <w:t>che le persone abilitate ad operare sul predetto conto sono:</w:t>
      </w:r>
    </w:p>
    <w:p w14:paraId="1CA3A755" w14:textId="77777777" w:rsidR="005D5842" w:rsidRDefault="00000000">
      <w:pPr>
        <w:spacing w:line="360" w:lineRule="auto"/>
        <w:ind w:left="567" w:hanging="284"/>
        <w:rPr>
          <w:sz w:val="22"/>
          <w:szCs w:val="22"/>
        </w:rPr>
      </w:pPr>
      <w:r>
        <w:rPr>
          <w:sz w:val="22"/>
          <w:szCs w:val="22"/>
        </w:rPr>
        <w:t xml:space="preserve">  _____________________            _______________________       __________________</w:t>
      </w:r>
    </w:p>
    <w:p w14:paraId="4D571655" w14:textId="77777777" w:rsidR="005D5842" w:rsidRDefault="00000000">
      <w:pPr>
        <w:spacing w:line="360" w:lineRule="auto"/>
        <w:ind w:left="567" w:hanging="284"/>
        <w:rPr>
          <w:sz w:val="22"/>
          <w:szCs w:val="22"/>
        </w:rPr>
      </w:pPr>
      <w:r>
        <w:rPr>
          <w:sz w:val="22"/>
          <w:szCs w:val="22"/>
        </w:rPr>
        <w:tab/>
        <w:t xml:space="preserve">           Nome                                           Cognome                           codice fiscale</w:t>
      </w:r>
    </w:p>
    <w:p w14:paraId="2100AC66" w14:textId="77777777" w:rsidR="005D5842" w:rsidRDefault="00000000">
      <w:pPr>
        <w:spacing w:line="360" w:lineRule="auto"/>
        <w:ind w:left="567" w:hanging="284"/>
        <w:rPr>
          <w:sz w:val="22"/>
          <w:szCs w:val="22"/>
        </w:rPr>
      </w:pPr>
      <w:r>
        <w:rPr>
          <w:sz w:val="22"/>
          <w:szCs w:val="22"/>
        </w:rPr>
        <w:t>_____________________            _______________________       __________________</w:t>
      </w:r>
    </w:p>
    <w:p w14:paraId="31E27FA6" w14:textId="77777777" w:rsidR="005D5842" w:rsidRDefault="00000000">
      <w:pPr>
        <w:spacing w:line="360" w:lineRule="auto"/>
        <w:ind w:left="567" w:hanging="284"/>
        <w:rPr>
          <w:sz w:val="22"/>
          <w:szCs w:val="22"/>
        </w:rPr>
      </w:pPr>
      <w:r>
        <w:rPr>
          <w:sz w:val="22"/>
          <w:szCs w:val="22"/>
        </w:rPr>
        <w:lastRenderedPageBreak/>
        <w:tab/>
        <w:t xml:space="preserve">           Nome                                           Cognome                           codice fiscale</w:t>
      </w:r>
    </w:p>
    <w:p w14:paraId="5947DECA" w14:textId="77777777" w:rsidR="005D5842" w:rsidRDefault="00000000">
      <w:pPr>
        <w:spacing w:line="360" w:lineRule="auto"/>
        <w:ind w:left="567" w:hanging="284"/>
        <w:rPr>
          <w:sz w:val="22"/>
          <w:szCs w:val="22"/>
        </w:rPr>
      </w:pPr>
      <w:r>
        <w:rPr>
          <w:sz w:val="22"/>
          <w:szCs w:val="22"/>
        </w:rPr>
        <w:t>_____________________            _______________________       __________________</w:t>
      </w:r>
    </w:p>
    <w:p w14:paraId="353AE345" w14:textId="77777777" w:rsidR="005D5842" w:rsidRDefault="00000000">
      <w:pPr>
        <w:spacing w:line="360" w:lineRule="auto"/>
        <w:ind w:left="567" w:hanging="284"/>
        <w:rPr>
          <w:sz w:val="22"/>
          <w:szCs w:val="22"/>
        </w:rPr>
      </w:pPr>
      <w:r>
        <w:rPr>
          <w:sz w:val="22"/>
          <w:szCs w:val="22"/>
        </w:rPr>
        <w:tab/>
        <w:t xml:space="preserve">           Nome                                           Cognome                           codice fiscale</w:t>
      </w:r>
    </w:p>
    <w:p w14:paraId="2F2D9985" w14:textId="77777777" w:rsidR="005D5842" w:rsidRDefault="005D5842">
      <w:pPr>
        <w:ind w:left="284" w:hanging="284"/>
        <w:rPr>
          <w:sz w:val="22"/>
          <w:szCs w:val="22"/>
        </w:rPr>
      </w:pPr>
    </w:p>
    <w:p w14:paraId="036759CA" w14:textId="77777777" w:rsidR="005D5842" w:rsidRDefault="00000000">
      <w:pPr>
        <w:numPr>
          <w:ilvl w:val="0"/>
          <w:numId w:val="14"/>
        </w:numPr>
        <w:suppressAutoHyphens w:val="0"/>
        <w:ind w:left="284" w:hanging="284"/>
        <w:rPr>
          <w:sz w:val="22"/>
          <w:szCs w:val="22"/>
        </w:rPr>
      </w:pPr>
      <w:r>
        <w:rPr>
          <w:sz w:val="22"/>
          <w:szCs w:val="22"/>
        </w:rPr>
        <w:t>di assumere l’obbligo di tracciabilità dei flussi finanziari;</w:t>
      </w:r>
    </w:p>
    <w:p w14:paraId="2EEC3F06" w14:textId="77777777" w:rsidR="005D5842" w:rsidRDefault="005D5842">
      <w:pPr>
        <w:ind w:left="284" w:hanging="284"/>
        <w:rPr>
          <w:sz w:val="22"/>
          <w:szCs w:val="22"/>
        </w:rPr>
      </w:pPr>
    </w:p>
    <w:p w14:paraId="383A9C33" w14:textId="77777777" w:rsidR="005D5842" w:rsidRDefault="00000000">
      <w:pPr>
        <w:numPr>
          <w:ilvl w:val="0"/>
          <w:numId w:val="14"/>
        </w:numPr>
        <w:suppressAutoHyphens w:val="0"/>
        <w:ind w:left="284" w:hanging="284"/>
        <w:rPr>
          <w:sz w:val="22"/>
          <w:szCs w:val="22"/>
        </w:rPr>
      </w:pPr>
      <w:r>
        <w:rPr>
          <w:sz w:val="22"/>
          <w:szCs w:val="22"/>
        </w:rPr>
        <w:t>di impegnarsi a comunicare, nei termini previsti dalla norma, eventuali eventi modificativi riguardanti la presente dichiarazione.</w:t>
      </w:r>
    </w:p>
    <w:p w14:paraId="3B873442" w14:textId="77777777" w:rsidR="005D5842" w:rsidRDefault="005D5842">
      <w:pPr>
        <w:pStyle w:val="Paragrafoelenco"/>
        <w:rPr>
          <w:rFonts w:ascii="Times New Roman" w:hAnsi="Times New Roman" w:cs="Times New Roman"/>
        </w:rPr>
      </w:pPr>
    </w:p>
    <w:p w14:paraId="4CEC98C0" w14:textId="77777777" w:rsidR="005D5842" w:rsidRDefault="00000000">
      <w:pPr>
        <w:suppressAutoHyphens w:val="0"/>
        <w:ind w:left="709"/>
        <w:jc w:val="center"/>
        <w:rPr>
          <w:b/>
          <w:bCs/>
          <w:sz w:val="22"/>
          <w:szCs w:val="22"/>
        </w:rPr>
      </w:pPr>
      <w:r>
        <w:rPr>
          <w:b/>
          <w:bCs/>
          <w:sz w:val="22"/>
          <w:szCs w:val="22"/>
        </w:rPr>
        <w:t>PRENDE ATTO</w:t>
      </w:r>
    </w:p>
    <w:p w14:paraId="2BACD03F" w14:textId="77777777" w:rsidR="005D5842" w:rsidRDefault="005D5842">
      <w:pPr>
        <w:suppressAutoHyphens w:val="0"/>
        <w:ind w:left="709"/>
        <w:jc w:val="center"/>
        <w:rPr>
          <w:sz w:val="22"/>
          <w:szCs w:val="22"/>
        </w:rPr>
      </w:pPr>
    </w:p>
    <w:p w14:paraId="1FBDDA34" w14:textId="77777777" w:rsidR="005D5842" w:rsidRDefault="00000000">
      <w:pPr>
        <w:pStyle w:val="sche3"/>
        <w:numPr>
          <w:ilvl w:val="0"/>
          <w:numId w:val="13"/>
        </w:numPr>
        <w:ind w:left="284" w:hanging="284"/>
        <w:rPr>
          <w:sz w:val="22"/>
          <w:szCs w:val="22"/>
          <w:lang w:val="it-IT"/>
        </w:rPr>
      </w:pPr>
      <w:bookmarkStart w:id="1" w:name="_Hlk139218418"/>
      <w:r>
        <w:rPr>
          <w:sz w:val="22"/>
          <w:szCs w:val="22"/>
          <w:lang w:val="it-IT"/>
        </w:rPr>
        <w:t>che, ai sensi dell’art. 99, del D. Lgs. 36/2023 intitolato “Verifica del possesso dei requisiti”, la stazione appaltante:</w:t>
      </w:r>
    </w:p>
    <w:bookmarkEnd w:id="1"/>
    <w:p w14:paraId="5168C426" w14:textId="77777777" w:rsidR="005D5842" w:rsidRDefault="00000000">
      <w:pPr>
        <w:pStyle w:val="sche3"/>
        <w:numPr>
          <w:ilvl w:val="0"/>
          <w:numId w:val="20"/>
        </w:numPr>
        <w:ind w:left="567" w:hanging="284"/>
        <w:rPr>
          <w:sz w:val="22"/>
          <w:szCs w:val="22"/>
          <w:lang w:val="it-IT"/>
        </w:rPr>
      </w:pPr>
      <w:r>
        <w:rPr>
          <w:sz w:val="22"/>
          <w:szCs w:val="22"/>
          <w:lang w:val="it-IT"/>
        </w:rPr>
        <w:t>verifica l’assenza di cause di esclusione automatiche di cui all’articolo 94 attraverso la consultazione del fascicolo virtuale dell’operatore economico di cui all’articolo 24, la consultazione degli altri documenti allegati dall’operatore economico, nonché tramite l’interoperabilità con la piattaforma digitale nazionale dati di cui all’articolo 50-ter del codice dell'amministrazione digitale, di cui al decreto legislativo 7 marzo 2005, n. 82 e con le banche dati delle pubbliche amministrazioni;</w:t>
      </w:r>
    </w:p>
    <w:p w14:paraId="3B39B5AE" w14:textId="77777777" w:rsidR="005D5842" w:rsidRDefault="00000000">
      <w:pPr>
        <w:pStyle w:val="sche3"/>
        <w:numPr>
          <w:ilvl w:val="0"/>
          <w:numId w:val="20"/>
        </w:numPr>
        <w:ind w:left="567" w:hanging="284"/>
        <w:rPr>
          <w:sz w:val="22"/>
          <w:szCs w:val="22"/>
          <w:lang w:val="it-IT"/>
        </w:rPr>
      </w:pPr>
      <w:r>
        <w:rPr>
          <w:sz w:val="22"/>
          <w:szCs w:val="22"/>
          <w:lang w:val="it-IT"/>
        </w:rPr>
        <w:t>con le medesime modalità di cui al comma 1, verifica l’assenza delle cause di esclusione non automatica di cui all’articolo 95, e il possesso dei requisiti di partecipazione di cui agli articoli 100 (requisiti di ordine speciale) e 103 (requisiti di partecipazione solo per procedure di lavori di rilevante importo)</w:t>
      </w:r>
      <w:r>
        <w:rPr>
          <w:rStyle w:val="Rimandonotaapidipagina"/>
          <w:sz w:val="22"/>
          <w:szCs w:val="22"/>
          <w:lang w:val="it-IT"/>
        </w:rPr>
        <w:footnoteReference w:id="7"/>
      </w:r>
      <w:r>
        <w:rPr>
          <w:sz w:val="22"/>
          <w:szCs w:val="22"/>
          <w:lang w:val="it-IT"/>
        </w:rPr>
        <w:t>.</w:t>
      </w:r>
    </w:p>
    <w:p w14:paraId="2FFB9FD1" w14:textId="77777777" w:rsidR="005D5842" w:rsidRDefault="005D5842">
      <w:pPr>
        <w:pStyle w:val="sche3"/>
        <w:ind w:left="284" w:hanging="284"/>
        <w:rPr>
          <w:sz w:val="22"/>
          <w:szCs w:val="22"/>
          <w:lang w:val="it-IT"/>
        </w:rPr>
      </w:pPr>
    </w:p>
    <w:p w14:paraId="632ED2F7" w14:textId="77777777" w:rsidR="005D5842" w:rsidRDefault="00000000">
      <w:pPr>
        <w:pStyle w:val="sche3"/>
        <w:numPr>
          <w:ilvl w:val="0"/>
          <w:numId w:val="13"/>
        </w:numPr>
        <w:ind w:left="284" w:hanging="284"/>
        <w:rPr>
          <w:sz w:val="22"/>
          <w:szCs w:val="22"/>
          <w:lang w:val="it-IT"/>
        </w:rPr>
      </w:pPr>
      <w:r>
        <w:rPr>
          <w:sz w:val="22"/>
          <w:szCs w:val="22"/>
          <w:lang w:val="it-IT"/>
        </w:rPr>
        <w:t>che, ai sensi di quanto previsto dall’art.52, comma 1 e 2 del D. Lgs. 36/2023 intitolato “</w:t>
      </w:r>
      <w:r>
        <w:rPr>
          <w:i/>
          <w:iCs/>
          <w:sz w:val="22"/>
          <w:szCs w:val="22"/>
          <w:lang w:val="it-IT"/>
        </w:rPr>
        <w:t>Controllo sul possesso dei requisiti</w:t>
      </w:r>
      <w:r>
        <w:rPr>
          <w:sz w:val="22"/>
          <w:szCs w:val="22"/>
          <w:lang w:val="it-IT"/>
        </w:rPr>
        <w:t xml:space="preserve">”, </w:t>
      </w:r>
      <w:r>
        <w:rPr>
          <w:b/>
          <w:bCs/>
          <w:sz w:val="22"/>
          <w:szCs w:val="22"/>
          <w:lang w:val="it-IT"/>
        </w:rPr>
        <w:t xml:space="preserve">la stazione appaltante </w:t>
      </w:r>
      <w:r>
        <w:rPr>
          <w:b/>
          <w:bCs/>
          <w:sz w:val="22"/>
          <w:szCs w:val="22"/>
          <w:u w:val="single"/>
          <w:lang w:val="it-IT"/>
        </w:rPr>
        <w:t>nelle procedure di affidamento di cui all’articolo 50, comma 1, lettere a) e b), di importo inferiore a 40.000 euro</w:t>
      </w:r>
      <w:r>
        <w:rPr>
          <w:sz w:val="22"/>
          <w:szCs w:val="22"/>
          <w:lang w:val="it-IT"/>
        </w:rPr>
        <w:t>, verifica le dichiarazioni sostitutive di atto di notorietà presentate e attestanti il possesso dei requisiti di partecipazione e di qualificazione richiesti, anche previo sorteggio di un campione individuato con modalità predeterminate ogni anno.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166036DC" w14:textId="77777777" w:rsidR="005D5842" w:rsidRDefault="005D5842">
      <w:pPr>
        <w:rPr>
          <w:sz w:val="22"/>
          <w:szCs w:val="22"/>
        </w:rPr>
      </w:pPr>
    </w:p>
    <w:p w14:paraId="04254355" w14:textId="77777777" w:rsidR="005D5842" w:rsidRDefault="00000000">
      <w:pPr>
        <w:spacing w:line="360" w:lineRule="auto"/>
        <w:jc w:val="center"/>
        <w:rPr>
          <w:b/>
          <w:bCs/>
          <w:sz w:val="22"/>
          <w:szCs w:val="22"/>
        </w:rPr>
      </w:pPr>
      <w:r>
        <w:rPr>
          <w:b/>
          <w:sz w:val="22"/>
          <w:szCs w:val="22"/>
        </w:rPr>
        <w:t>DICHIARA INFINE </w:t>
      </w:r>
    </w:p>
    <w:p w14:paraId="2494CA34"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t>DI ACCETTARE</w:t>
      </w:r>
      <w:r>
        <w:rPr>
          <w:rFonts w:eastAsia="Calibri"/>
          <w:kern w:val="2"/>
          <w:sz w:val="22"/>
          <w:szCs w:val="22"/>
          <w:lang w:eastAsia="en-US"/>
        </w:rPr>
        <w:t>, senza condizione o riserva alcuna, tutte le prescrizioni contenute nella documentazione relativa all’</w:t>
      </w:r>
      <w:hyperlink r:id="rId8" w:history="1">
        <w:r>
          <w:rPr>
            <w:rFonts w:eastAsia="Calibri"/>
            <w:kern w:val="2"/>
            <w:sz w:val="22"/>
            <w:szCs w:val="22"/>
            <w:lang w:eastAsia="en-US"/>
          </w:rPr>
          <w:t>affidamento sottosoglia</w:t>
        </w:r>
      </w:hyperlink>
      <w:r>
        <w:rPr>
          <w:rFonts w:eastAsia="Calibri"/>
          <w:kern w:val="2"/>
          <w:sz w:val="22"/>
          <w:szCs w:val="22"/>
          <w:lang w:eastAsia="en-US"/>
        </w:rPr>
        <w:t> in oggetto;</w:t>
      </w:r>
    </w:p>
    <w:p w14:paraId="7B1DFAD0"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t>DI ESSERE</w:t>
      </w:r>
      <w:r>
        <w:rPr>
          <w:rFonts w:eastAsia="Calibri"/>
          <w:kern w:val="2"/>
          <w:sz w:val="22"/>
          <w:szCs w:val="22"/>
          <w:lang w:eastAsia="en-US"/>
        </w:rPr>
        <w:t xml:space="preserve"> consapevole che, ai sensi dell’articolo 96, comma 14, del D.lgs. n. 36/2023, l’operatore ha l’obbligo di comunicare alla stazione appaltante anche la sussistenza dei fatti e dei provvedimenti che possono costituire causa di esclusione ai sensi degli articoli 94 e 95;</w:t>
      </w:r>
    </w:p>
    <w:p w14:paraId="482BFA2B"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lastRenderedPageBreak/>
        <w:t>DI IMPEGNARSI</w:t>
      </w:r>
      <w:r>
        <w:rPr>
          <w:rFonts w:eastAsia="Calibri"/>
          <w:kern w:val="2"/>
          <w:sz w:val="22"/>
          <w:szCs w:val="22"/>
          <w:lang w:eastAsia="en-US"/>
        </w:rPr>
        <w:t xml:space="preserve"> ad eseguire le prestazioni in parola secondo le modalità ed i tempi stabiliti dalla stazione appaltante; </w:t>
      </w:r>
    </w:p>
    <w:p w14:paraId="5A292028"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t>DI ESSERE EDOTTO</w:t>
      </w:r>
      <w:r>
        <w:rPr>
          <w:rFonts w:eastAsia="Calibri"/>
          <w:kern w:val="2"/>
          <w:sz w:val="22"/>
          <w:szCs w:val="22"/>
          <w:lang w:eastAsia="en-US"/>
        </w:rPr>
        <w:t xml:space="preserve"> degli obblighi derivanti dal Codice di comportamento integrativo dell’Ente</w:t>
      </w:r>
      <w:r>
        <w:rPr>
          <w:rFonts w:eastAsia="Calibri"/>
          <w:i/>
          <w:iCs/>
          <w:kern w:val="2"/>
          <w:sz w:val="22"/>
          <w:szCs w:val="22"/>
          <w:lang w:eastAsia="en-US"/>
        </w:rPr>
        <w:t> </w:t>
      </w:r>
      <w:r>
        <w:rPr>
          <w:rFonts w:eastAsia="Calibri"/>
          <w:kern w:val="2"/>
          <w:sz w:val="22"/>
          <w:szCs w:val="22"/>
          <w:lang w:eastAsia="en-US"/>
        </w:rPr>
        <w:t>e di impegnarsi, in caso di aggiudicazione, a osservare e a far osservare ai propri dipendenti e collaboratori, per quanto applicabile, il suddetto codice, pena la risoluzione del contratto;</w:t>
      </w:r>
    </w:p>
    <w:p w14:paraId="76C384E1"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t>DI IMPEGNARSI</w:t>
      </w:r>
      <w:r>
        <w:rPr>
          <w:rFonts w:eastAsia="Calibri"/>
          <w:kern w:val="2"/>
          <w:sz w:val="22"/>
          <w:szCs w:val="22"/>
          <w:lang w:eastAsia="en-US"/>
        </w:rPr>
        <w:t xml:space="preserve">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45CDB096"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ascii="Segoe UI Symbol" w:eastAsia="Calibri" w:hAnsi="Segoe UI Symbol" w:cs="Segoe UI Symbol"/>
          <w:kern w:val="2"/>
          <w:sz w:val="22"/>
          <w:szCs w:val="22"/>
          <w:lang w:eastAsia="en-US"/>
        </w:rPr>
        <w:t>☐</w:t>
      </w:r>
      <w:r>
        <w:rPr>
          <w:rFonts w:eastAsia="Calibri"/>
          <w:kern w:val="2"/>
          <w:sz w:val="22"/>
          <w:szCs w:val="22"/>
          <w:lang w:eastAsia="en-US"/>
        </w:rPr>
        <w:t xml:space="preserve"> </w:t>
      </w:r>
      <w:r>
        <w:rPr>
          <w:rFonts w:eastAsia="Calibri"/>
          <w:b/>
          <w:bCs/>
          <w:kern w:val="2"/>
          <w:sz w:val="22"/>
          <w:szCs w:val="22"/>
          <w:lang w:eastAsia="en-US"/>
        </w:rPr>
        <w:t>DI APPLICARE</w:t>
      </w:r>
      <w:r>
        <w:rPr>
          <w:rFonts w:eastAsia="Calibri"/>
          <w:kern w:val="2"/>
          <w:sz w:val="22"/>
          <w:szCs w:val="22"/>
          <w:lang w:eastAsia="en-US"/>
        </w:rPr>
        <w:t xml:space="preserve"> ai propri dipendenti il seguente Contratto Nazionale (CCNL): ________________________;</w:t>
      </w:r>
    </w:p>
    <w:p w14:paraId="7EFC4647" w14:textId="77777777" w:rsidR="005D5842" w:rsidRDefault="00000000">
      <w:pPr>
        <w:pStyle w:val="has-text-align-center"/>
        <w:shd w:val="clear" w:color="auto" w:fill="FFFFFF"/>
        <w:spacing w:before="0" w:beforeAutospacing="0" w:after="300" w:afterAutospacing="0"/>
        <w:ind w:left="284"/>
        <w:jc w:val="both"/>
        <w:rPr>
          <w:rFonts w:eastAsia="Calibri"/>
          <w:kern w:val="2"/>
          <w:sz w:val="22"/>
          <w:szCs w:val="22"/>
          <w:lang w:eastAsia="en-US"/>
        </w:rPr>
      </w:pPr>
      <w:r>
        <w:rPr>
          <w:rFonts w:eastAsia="Calibri"/>
          <w:i/>
          <w:iCs/>
          <w:kern w:val="2"/>
          <w:sz w:val="22"/>
          <w:szCs w:val="22"/>
          <w:lang w:eastAsia="en-US"/>
        </w:rPr>
        <w:t>Oppure</w:t>
      </w:r>
    </w:p>
    <w:p w14:paraId="2F20FF31" w14:textId="77777777" w:rsidR="005D5842" w:rsidRDefault="00000000">
      <w:pPr>
        <w:pStyle w:val="NormaleWeb"/>
        <w:shd w:val="clear" w:color="auto" w:fill="FFFFFF"/>
        <w:spacing w:before="0" w:beforeAutospacing="0" w:after="300" w:afterAutospacing="0"/>
        <w:ind w:left="284"/>
        <w:jc w:val="both"/>
        <w:rPr>
          <w:rFonts w:eastAsia="Calibri"/>
          <w:kern w:val="2"/>
          <w:sz w:val="22"/>
          <w:szCs w:val="22"/>
          <w:lang w:eastAsia="en-US"/>
        </w:rPr>
      </w:pPr>
      <w:r>
        <w:rPr>
          <w:rFonts w:ascii="Segoe UI Symbol" w:eastAsia="Calibri" w:hAnsi="Segoe UI Symbol" w:cs="Segoe UI Symbol"/>
          <w:kern w:val="2"/>
          <w:sz w:val="22"/>
          <w:szCs w:val="22"/>
          <w:lang w:eastAsia="en-US"/>
        </w:rPr>
        <w:t>☐</w:t>
      </w:r>
      <w:r>
        <w:rPr>
          <w:rFonts w:eastAsia="Calibri"/>
          <w:kern w:val="2"/>
          <w:sz w:val="22"/>
          <w:szCs w:val="22"/>
          <w:lang w:eastAsia="en-US"/>
        </w:rPr>
        <w:t xml:space="preserve"> </w:t>
      </w:r>
      <w:r>
        <w:rPr>
          <w:rFonts w:eastAsia="Calibri"/>
          <w:b/>
          <w:bCs/>
          <w:kern w:val="2"/>
          <w:sz w:val="22"/>
          <w:szCs w:val="22"/>
          <w:lang w:eastAsia="en-US"/>
        </w:rPr>
        <w:t>CHE</w:t>
      </w:r>
      <w:r>
        <w:rPr>
          <w:rFonts w:eastAsia="Calibri"/>
          <w:kern w:val="2"/>
          <w:sz w:val="22"/>
          <w:szCs w:val="22"/>
          <w:lang w:eastAsia="en-US"/>
        </w:rPr>
        <w:t xml:space="preserv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1FEAB5C6" w14:textId="77777777" w:rsidR="005D5842" w:rsidRDefault="00000000">
      <w:pPr>
        <w:pStyle w:val="NormaleWeb"/>
        <w:numPr>
          <w:ilvl w:val="0"/>
          <w:numId w:val="3"/>
        </w:numPr>
        <w:shd w:val="clear" w:color="auto" w:fill="FFFFFF"/>
        <w:spacing w:before="0" w:beforeAutospacing="0" w:after="300" w:afterAutospacing="0"/>
        <w:ind w:left="284" w:hanging="284"/>
        <w:jc w:val="both"/>
        <w:rPr>
          <w:rFonts w:eastAsia="Calibri"/>
          <w:kern w:val="2"/>
          <w:sz w:val="22"/>
          <w:szCs w:val="22"/>
          <w:lang w:eastAsia="en-US"/>
        </w:rPr>
      </w:pPr>
      <w:r>
        <w:rPr>
          <w:rFonts w:eastAsia="Calibri"/>
          <w:b/>
          <w:bCs/>
          <w:kern w:val="2"/>
          <w:sz w:val="22"/>
          <w:szCs w:val="22"/>
          <w:lang w:eastAsia="en-US"/>
        </w:rPr>
        <w:t>DI AUTORIZZARE</w:t>
      </w:r>
      <w:r>
        <w:rPr>
          <w:rFonts w:eastAsia="Calibri"/>
          <w:kern w:val="2"/>
          <w:sz w:val="22"/>
          <w:szCs w:val="22"/>
          <w:lang w:eastAsia="en-US"/>
        </w:rPr>
        <w:t>,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0A4C1E89" w14:textId="77777777" w:rsidR="005D5842" w:rsidRDefault="005D5842">
      <w:pPr>
        <w:pStyle w:val="Paragrafoelenco"/>
        <w:ind w:left="0"/>
        <w:jc w:val="both"/>
        <w:rPr>
          <w:rFonts w:ascii="Times New Roman" w:hAnsi="Times New Roman" w:cs="Times New Roman"/>
        </w:rPr>
      </w:pPr>
    </w:p>
    <w:p w14:paraId="253C2AB0" w14:textId="77777777" w:rsidR="005D5842" w:rsidRDefault="00000000">
      <w:pPr>
        <w:pStyle w:val="Paragrafoelenco"/>
        <w:ind w:left="0"/>
        <w:jc w:val="both"/>
        <w:rPr>
          <w:rFonts w:ascii="Times New Roman" w:hAnsi="Times New Roman" w:cs="Times New Roman"/>
        </w:rPr>
      </w:pPr>
      <w:r>
        <w:rPr>
          <w:rFonts w:ascii="Times New Roman" w:hAnsi="Times New Roman" w:cs="Times New Roman"/>
        </w:rPr>
        <w:t>Luogo e data__________________________________________</w:t>
      </w:r>
    </w:p>
    <w:p w14:paraId="103E6F44" w14:textId="77777777" w:rsidR="005D5842" w:rsidRDefault="005D5842">
      <w:pPr>
        <w:pStyle w:val="Paragrafoelenco"/>
        <w:ind w:left="0"/>
        <w:jc w:val="both"/>
        <w:rPr>
          <w:rFonts w:ascii="Times New Roman" w:hAnsi="Times New Roman" w:cs="Times New Roman"/>
        </w:rPr>
      </w:pPr>
    </w:p>
    <w:p w14:paraId="463F4890" w14:textId="77777777" w:rsidR="005D5842" w:rsidRDefault="00000000">
      <w:pPr>
        <w:pStyle w:val="Paragrafoelenco"/>
        <w:ind w:left="0"/>
        <w:jc w:val="right"/>
        <w:rPr>
          <w:rFonts w:ascii="Times New Roman" w:hAnsi="Times New Roman" w:cs="Times New Roman"/>
        </w:rPr>
      </w:pPr>
      <w:r>
        <w:rPr>
          <w:rFonts w:ascii="Times New Roman" w:hAnsi="Times New Roman" w:cs="Times New Roman"/>
        </w:rPr>
        <w:t>FIRMA DEL DICHIARANTE</w:t>
      </w:r>
      <w:r>
        <w:rPr>
          <w:rStyle w:val="Rimandonotaapidipagina"/>
          <w:rFonts w:ascii="Times New Roman" w:hAnsi="Times New Roman" w:cs="Times New Roman"/>
        </w:rPr>
        <w:footnoteReference w:id="8"/>
      </w:r>
    </w:p>
    <w:p w14:paraId="04CF9362" w14:textId="77777777" w:rsidR="005D5842" w:rsidRDefault="005D5842">
      <w:pPr>
        <w:pStyle w:val="Paragrafoelenco"/>
        <w:ind w:left="0"/>
        <w:jc w:val="right"/>
        <w:rPr>
          <w:rFonts w:ascii="Times New Roman" w:hAnsi="Times New Roman" w:cs="Times New Roman"/>
        </w:rPr>
      </w:pPr>
    </w:p>
    <w:p w14:paraId="2A55CCA0" w14:textId="77777777" w:rsidR="005D5842" w:rsidRDefault="00000000">
      <w:pPr>
        <w:pStyle w:val="Paragrafoelenco"/>
        <w:ind w:left="0"/>
        <w:jc w:val="right"/>
        <w:rPr>
          <w:rFonts w:ascii="Times New Roman" w:hAnsi="Times New Roman" w:cs="Times New Roman"/>
        </w:rPr>
      </w:pPr>
      <w:r>
        <w:rPr>
          <w:rFonts w:ascii="Times New Roman" w:hAnsi="Times New Roman" w:cs="Times New Roman"/>
        </w:rPr>
        <w:t>_______________________________________</w:t>
      </w:r>
    </w:p>
    <w:p w14:paraId="3897EE8B" w14:textId="77777777" w:rsidR="005D5842" w:rsidRDefault="00000000">
      <w:pPr>
        <w:suppressAutoHyphens w:val="0"/>
        <w:rPr>
          <w:rFonts w:eastAsia="Calibri"/>
          <w:sz w:val="22"/>
          <w:szCs w:val="22"/>
        </w:rPr>
      </w:pPr>
      <w:r>
        <w:br w:type="page"/>
      </w:r>
    </w:p>
    <w:p w14:paraId="37A70ADC" w14:textId="77777777" w:rsidR="005D5842" w:rsidRDefault="005D5842">
      <w:pPr>
        <w:pStyle w:val="sche3"/>
        <w:rPr>
          <w:sz w:val="22"/>
          <w:szCs w:val="22"/>
          <w:lang w:val="it-IT"/>
        </w:rPr>
      </w:pPr>
    </w:p>
    <w:sectPr w:rsidR="005D5842">
      <w:headerReference w:type="even" r:id="rId9"/>
      <w:headerReference w:type="default" r:id="rId10"/>
      <w:footerReference w:type="even" r:id="rId11"/>
      <w:footerReference w:type="default" r:id="rId12"/>
      <w:headerReference w:type="first" r:id="rId13"/>
      <w:footerReference w:type="first" r:id="rId14"/>
      <w:pgSz w:w="11900" w:h="16840"/>
      <w:pgMar w:top="2552" w:right="1134" w:bottom="1134" w:left="1134" w:header="720" w:footer="567" w:gutter="0"/>
      <w:cols w:space="720"/>
      <w:docGrid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912BD" w14:textId="77777777" w:rsidR="002D7EEA" w:rsidRDefault="002D7EEA">
      <w:r>
        <w:separator/>
      </w:r>
    </w:p>
  </w:endnote>
  <w:endnote w:type="continuationSeparator" w:id="0">
    <w:p w14:paraId="509A4DD2" w14:textId="77777777" w:rsidR="002D7EEA" w:rsidRDefault="002D7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SansMS">
    <w:charset w:val="00"/>
    <w:family w:val="script"/>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7F3AE" w14:textId="77777777" w:rsidR="005D5842" w:rsidRDefault="005D584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16E58" w14:textId="77777777" w:rsidR="005D5842" w:rsidRDefault="00000000">
    <w:pPr>
      <w:pStyle w:val="Pidipagina"/>
    </w:pPr>
    <w:r>
      <w:rPr>
        <w:noProof/>
      </w:rPr>
      <mc:AlternateContent>
        <mc:Choice Requires="wps">
          <w:drawing>
            <wp:anchor distT="0" distB="0" distL="0" distR="0" simplePos="0" relativeHeight="251658243" behindDoc="0" locked="0" layoutInCell="1" allowOverlap="1" wp14:anchorId="179DDCC2" wp14:editId="1E2ACD87">
              <wp:simplePos x="0" y="0"/>
              <wp:positionH relativeFrom="page">
                <wp:posOffset>7155180</wp:posOffset>
              </wp:positionH>
              <wp:positionV relativeFrom="paragraph">
                <wp:posOffset>635</wp:posOffset>
              </wp:positionV>
              <wp:extent cx="170815" cy="173990"/>
              <wp:effectExtent l="0" t="0" r="0" b="0"/>
              <wp:wrapSquare wrapText="largest"/>
              <wp:docPr id="1986442296" name="Text Box 1"/>
              <wp:cNvGraphicFramePr/>
              <a:graphic xmlns:a="http://schemas.openxmlformats.org/drawingml/2006/main">
                <a:graphicData uri="http://schemas.microsoft.com/office/word/2010/wordprocessingShape">
                  <wps:wsp>
                    <wps:cNvSpPr/>
                    <wps:spPr>
                      <a:xfrm>
                        <a:off x="0" y="0"/>
                        <a:ext cx="170815" cy="173990"/>
                      </a:xfrm>
                      <a:prstGeom prst="rect">
                        <a:avLst/>
                      </a:prstGeom>
                      <a:solidFill>
                        <a:srgbClr val="FFFFFF">
                          <a:alpha val="0"/>
                        </a:srgbClr>
                      </a:solidFill>
                      <a:ln w="12700" cap="flat" cmpd="sng">
                        <a:prstDash val="solid"/>
                        <a:round/>
                      </a:ln>
                      <a:extLst>
                        <a:ext uri="{91240B29-F687-4F45-9708-019B960494DF}">
                          <a14:hiddenLine xmlns:a14="http://schemas.microsoft.com/office/drawing/2010/main" w="9525">
                            <a:solidFill>
                              <a:srgbClr val="000000"/>
                            </a:solidFill>
                            <a:miter lim="800000"/>
                            <a:headEnd/>
                            <a:tailEnd/>
                          </a14:hiddenLine>
                        </a:ext>
                      </a:extLst>
                    </wps:spPr>
                    <wps:txbx>
                      <w:txbxContent>
                        <w:p w14:paraId="5A478624" w14:textId="77777777" w:rsidR="005D5842" w:rsidRDefault="00000000">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ve:Fallback xmlns:pic="http://schemas.openxmlformats.org/drawingml/2006/picture" xmlns:a="http://schemas.openxmlformats.org/drawingml/2006/main" xmlns:ve="http://schemas.openxmlformats.org/markup-compatibility/2006">
          <w:pict>
            <v:shape id="Text Box 1" type="#_x0000_t202" style="position:absolute;margin-left:563.4pt;margin-top:0.05pt;width:13.45pt;height:13.7pt;z-index:251658243;mso-position-horizontal-relative:page;v-text-anchor:top;mso-wrap-distance-left:0pt;mso-wrap-distance-top:0pt;mso-wrap-distance-right:0pt;mso-wrap-distance-bottom:0pt;mso-wrap-style:square;position:absolute" filled="f" strokecolor="#000000" strokeweight="0.75pt" stroked="f">
              <w10:wrap type="square" side="largest"/>
              <v:textbox style="" inset="0pt,0pt,0pt,0pt">
                <w:txbxContent>
                  <w:p>
                    <w:pPr>
                      <w:pStyle w:val="Pidipagina"/>
                      <w:pBdr/>
                      <w:spacing/>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 xml:space="preserve">1</w:t>
                    </w:r>
                    <w:r>
                      <w:rPr>
                        <w:rStyle w:val="Numeropagina"/>
                      </w:rPr>
                      <w:fldChar w:fldCharType="end"/>
                    </w:r>
                  </w:p>
                </w:txbxContent>
              </v:textbox>
            </v:shape>
          </w:pict>
        </ve:Fallback>
      </mc:AlternateContent>
    </w:r>
    <w:r>
      <w:rPr>
        <w:noProof/>
      </w:rPr>
      <mc:AlternateContent>
        <mc:Choice Requires="wps">
          <w:drawing>
            <wp:anchor distT="0" distB="0" distL="0" distR="0" simplePos="0" relativeHeight="251658244" behindDoc="0" locked="0" layoutInCell="1" allowOverlap="1" wp14:anchorId="6B1B7FB8" wp14:editId="18FFA138">
              <wp:simplePos x="0" y="0"/>
              <wp:positionH relativeFrom="margin">
                <wp:align>center</wp:align>
              </wp:positionH>
              <wp:positionV relativeFrom="paragraph">
                <wp:posOffset>635</wp:posOffset>
              </wp:positionV>
              <wp:extent cx="241935" cy="173990"/>
              <wp:effectExtent l="0" t="0" r="0" b="0"/>
              <wp:wrapSquare wrapText="largest"/>
              <wp:docPr id="655197305" name="Text Box 2"/>
              <wp:cNvGraphicFramePr/>
              <a:graphic xmlns:a="http://schemas.openxmlformats.org/drawingml/2006/main">
                <a:graphicData uri="http://schemas.microsoft.com/office/word/2010/wordprocessingShape">
                  <wps:wsp>
                    <wps:cNvSpPr/>
                    <wps:spPr>
                      <a:xfrm>
                        <a:off x="0" y="0"/>
                        <a:ext cx="241935" cy="173990"/>
                      </a:xfrm>
                      <a:prstGeom prst="rect">
                        <a:avLst/>
                      </a:prstGeom>
                      <a:solidFill>
                        <a:srgbClr val="FFFFFF">
                          <a:alpha val="0"/>
                        </a:srgbClr>
                      </a:solidFill>
                      <a:ln w="12700" cap="flat" cmpd="sng">
                        <a:prstDash val="solid"/>
                        <a:round/>
                      </a:ln>
                      <a:extLst>
                        <a:ext uri="{91240B29-F687-4F45-9708-019B960494DF}">
                          <a14:hiddenLine xmlns:a14="http://schemas.microsoft.com/office/drawing/2010/main" w="9525">
                            <a:solidFill>
                              <a:srgbClr val="000000"/>
                            </a:solidFill>
                            <a:miter lim="800000"/>
                            <a:headEnd/>
                            <a:tailEnd/>
                          </a14:hiddenLine>
                        </a:ext>
                      </a:extLst>
                    </wps:spPr>
                    <wps:txbx>
                      <w:txbxContent>
                        <w:p w14:paraId="51B8B26B" w14:textId="77777777" w:rsidR="005D5842" w:rsidRDefault="005D5842">
                          <w:pPr>
                            <w:pStyle w:val="Pidipagina"/>
                            <w:ind w:right="360"/>
                          </w:pP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ve:Fallback xmlns:pic="http://schemas.openxmlformats.org/drawingml/2006/picture" xmlns:a="http://schemas.openxmlformats.org/drawingml/2006/main" xmlns:ve="http://schemas.openxmlformats.org/markup-compatibility/2006">
          <w:pict>
            <v:shape id="Text Box 2" type="#_x0000_t202" style="position:absolute;margin-left:0pt;margin-top:0.05pt;width:19.05pt;height:13.7pt;z-index:251658244;mso-position-horizontal-relative:margin;mso-position-horizontal:center;v-text-anchor:top;mso-wrap-distance-left:0pt;mso-wrap-distance-top:0pt;mso-wrap-distance-right:0pt;mso-wrap-distance-bottom:0pt;mso-wrap-style:square;position:absolute" filled="f" strokecolor="#000000" strokeweight="0.75pt" stroked="f">
              <w10:wrap type="square" side="largest"/>
              <v:textbox style="" inset="0pt,0pt,0pt,0pt">
                <w:txbxContent>
                  <w:p>
                    <w:pPr>
                      <w:pStyle w:val="Pidipagina"/>
                      <w:pBdr/>
                      <w:spacing/>
                      <w:ind w:right="360"/>
                      <w:rPr/>
                    </w:pPr>
                  </w:p>
                </w:txbxContent>
              </v:textbox>
            </v:shape>
          </w:pict>
        </ve: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7AB58" w14:textId="77777777" w:rsidR="005D5842" w:rsidRDefault="005D584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A39C" w14:textId="77777777" w:rsidR="002D7EEA" w:rsidRDefault="002D7EEA">
      <w:r>
        <w:separator/>
      </w:r>
    </w:p>
  </w:footnote>
  <w:footnote w:type="continuationSeparator" w:id="0">
    <w:p w14:paraId="71252920" w14:textId="77777777" w:rsidR="002D7EEA" w:rsidRDefault="002D7EEA">
      <w:r>
        <w:continuationSeparator/>
      </w:r>
    </w:p>
  </w:footnote>
  <w:footnote w:type="continuationNotice" w:id="1">
    <w:p w14:paraId="70D5CB28" w14:textId="77777777" w:rsidR="002D7EEA" w:rsidRDefault="002D7EEA"/>
  </w:footnote>
  <w:footnote w:id="2">
    <w:p w14:paraId="21D8A010" w14:textId="77777777" w:rsidR="005D5842" w:rsidRDefault="00000000">
      <w:pPr>
        <w:pStyle w:val="Testonotaapidipagina"/>
        <w:jc w:val="lowKashida"/>
      </w:pPr>
      <w:r>
        <w:rPr>
          <w:rStyle w:val="Rimandonotaapidipagina"/>
        </w:rPr>
        <w:footnoteRef/>
      </w:r>
      <w:r>
        <w:t xml:space="preserve"> 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0E813A91" w14:textId="77777777" w:rsidR="005D5842" w:rsidRDefault="00000000">
      <w:pPr>
        <w:pStyle w:val="Testonotaapidipagina"/>
        <w:jc w:val="lowKashida"/>
        <w:rPr>
          <w:i/>
          <w:iCs/>
        </w:rPr>
      </w:pPr>
      <w:r>
        <w:t>Ai sensi dell’art.94, comma 3, del D.Lgs. 36/2023, “</w:t>
      </w:r>
      <w:r>
        <w:rPr>
          <w:i/>
          <w:iCs/>
        </w:rPr>
        <w:t>l'esclusione è disposta se la sentenza o il decreto oppure la misura interdittiva ivi indicati sono stati emessi nei confronti:</w:t>
      </w:r>
    </w:p>
    <w:p w14:paraId="0EB07B5C" w14:textId="77777777" w:rsidR="005D5842" w:rsidRDefault="00000000">
      <w:pPr>
        <w:pStyle w:val="Testonotaapidipagina"/>
        <w:jc w:val="lowKashida"/>
        <w:rPr>
          <w:i/>
          <w:iCs/>
        </w:rPr>
      </w:pPr>
      <w:r>
        <w:rPr>
          <w:i/>
          <w:iCs/>
        </w:rPr>
        <w:t>a) dell’operatore economico ai sensi e nei termini di cui al decreto legislativo 8 giugno 2001, n. 231;</w:t>
      </w:r>
    </w:p>
    <w:p w14:paraId="2379321E" w14:textId="77777777" w:rsidR="005D5842" w:rsidRDefault="00000000">
      <w:pPr>
        <w:pStyle w:val="Testonotaapidipagina"/>
        <w:jc w:val="lowKashida"/>
        <w:rPr>
          <w:i/>
          <w:iCs/>
        </w:rPr>
      </w:pPr>
      <w:r>
        <w:rPr>
          <w:i/>
          <w:iCs/>
        </w:rPr>
        <w:t>b) del titolare o del direttore tecnico, se si tratta di impresa individuale;</w:t>
      </w:r>
    </w:p>
    <w:p w14:paraId="7B847D7D" w14:textId="77777777" w:rsidR="005D5842" w:rsidRDefault="00000000">
      <w:pPr>
        <w:pStyle w:val="Testonotaapidipagina"/>
        <w:jc w:val="lowKashida"/>
        <w:rPr>
          <w:i/>
          <w:iCs/>
        </w:rPr>
      </w:pPr>
      <w:r>
        <w:rPr>
          <w:i/>
          <w:iCs/>
        </w:rPr>
        <w:t>c) di un socio amministratore o del direttore tecnico, se si tratta di società in nome collettivo;</w:t>
      </w:r>
    </w:p>
    <w:p w14:paraId="24CF2763" w14:textId="77777777" w:rsidR="005D5842" w:rsidRDefault="00000000">
      <w:pPr>
        <w:pStyle w:val="Testonotaapidipagina"/>
        <w:jc w:val="lowKashida"/>
        <w:rPr>
          <w:i/>
          <w:iCs/>
        </w:rPr>
      </w:pPr>
      <w:r>
        <w:rPr>
          <w:i/>
          <w:iCs/>
        </w:rPr>
        <w:t>d) dei soci accomandatari o del direttore tecnico, se si tratta di società in accomandita semplice;</w:t>
      </w:r>
    </w:p>
    <w:p w14:paraId="3A26C7EC" w14:textId="77777777" w:rsidR="005D5842" w:rsidRDefault="00000000">
      <w:pPr>
        <w:pStyle w:val="Testonotaapidipagina"/>
        <w:jc w:val="lowKashida"/>
        <w:rPr>
          <w:i/>
          <w:iCs/>
        </w:rPr>
      </w:pPr>
      <w:r>
        <w:rPr>
          <w:i/>
          <w:iCs/>
        </w:rPr>
        <w:t>e) dei membri del consiglio di amministrazione cui sia stata conferita la legale rappresentanza, ivi compresi gli institori e i procuratori generali;</w:t>
      </w:r>
    </w:p>
    <w:p w14:paraId="7CD08318" w14:textId="77777777" w:rsidR="005D5842" w:rsidRDefault="00000000">
      <w:pPr>
        <w:pStyle w:val="Testonotaapidipagina"/>
        <w:jc w:val="lowKashida"/>
        <w:rPr>
          <w:i/>
          <w:iCs/>
        </w:rPr>
      </w:pPr>
      <w:r>
        <w:rPr>
          <w:i/>
          <w:iCs/>
        </w:rPr>
        <w:t>f) dei componenti degli organi con poteri di direzione o di vigilanza o dei soggetti muniti di poteri di rappresentanza, di direzione o di controllo;</w:t>
      </w:r>
    </w:p>
    <w:p w14:paraId="6642322B" w14:textId="77777777" w:rsidR="005D5842" w:rsidRDefault="00000000">
      <w:pPr>
        <w:pStyle w:val="Testonotaapidipagina"/>
        <w:jc w:val="lowKashida"/>
        <w:rPr>
          <w:i/>
          <w:iCs/>
        </w:rPr>
      </w:pPr>
      <w:r>
        <w:rPr>
          <w:i/>
          <w:iCs/>
        </w:rPr>
        <w:t>g) del direttore tecnico o del socio unico;</w:t>
      </w:r>
    </w:p>
    <w:p w14:paraId="148B7E9B" w14:textId="77777777" w:rsidR="005D5842" w:rsidRDefault="00000000">
      <w:pPr>
        <w:pStyle w:val="Testonotaapidipagina"/>
        <w:jc w:val="lowKashida"/>
      </w:pPr>
      <w:r>
        <w:rPr>
          <w:i/>
          <w:iCs/>
        </w:rPr>
        <w:t>h) dell’amministratore di fatto nelle ipotesi di cui alle lettere precedenti”</w:t>
      </w:r>
      <w:r>
        <w:t>.</w:t>
      </w:r>
    </w:p>
    <w:p w14:paraId="4684B1C3" w14:textId="77777777" w:rsidR="005D5842" w:rsidRDefault="00000000">
      <w:pPr>
        <w:pStyle w:val="Testonotaapidipagina"/>
        <w:jc w:val="lowKashida"/>
      </w:pPr>
      <w:r>
        <w:t>Secondo l’art.94, comma 4, del D. Lgs. 36/2023, “</w:t>
      </w:r>
      <w:r>
        <w:rPr>
          <w:i/>
          <w:iCs/>
        </w:rPr>
        <w:t>Nel caso in cui il socio sia una persona giuridica l’esclusione va disposta se la sentenza o il decreto ovvero la misura interdittiva sono stati emessi nei confronti degli amministratori di quest’ultima”.</w:t>
      </w:r>
    </w:p>
  </w:footnote>
  <w:footnote w:id="3">
    <w:p w14:paraId="6BA45B2E" w14:textId="77777777" w:rsidR="005D5842" w:rsidRDefault="00000000">
      <w:pPr>
        <w:pStyle w:val="Testonotaapidipagina"/>
        <w:jc w:val="lowKashida"/>
      </w:pPr>
      <w:r>
        <w:rPr>
          <w:rStyle w:val="Rimandonotaapidipagina"/>
        </w:rPr>
        <w:footnoteRef/>
      </w:r>
      <w:r>
        <w:t xml:space="preserve"> Si evidenzia che sono, altresì, esclusi,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footnote>
  <w:footnote w:id="4">
    <w:p w14:paraId="1B4AEFA5" w14:textId="77777777" w:rsidR="005D5842" w:rsidRDefault="00000000">
      <w:pPr>
        <w:pStyle w:val="Testonotaapidipagina"/>
        <w:jc w:val="lowKashida"/>
      </w:pPr>
      <w:r>
        <w:rPr>
          <w:rStyle w:val="Rimandonotaapidipagina"/>
        </w:rPr>
        <w:footnoteRef/>
      </w:r>
      <w:r>
        <w:t xml:space="preserve"> Costituiscono gravi violazioni definitivamente accertate quelle indicate nell’allegato II.10. La norma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24D85134" w14:textId="77777777" w:rsidR="005D5842" w:rsidRDefault="00000000">
      <w:pPr>
        <w:pStyle w:val="Testonotaapidipagina"/>
        <w:jc w:val="lowKashida"/>
        <w:rPr>
          <w:b/>
          <w:bCs/>
        </w:rPr>
      </w:pPr>
      <w:r>
        <w:rPr>
          <w:b/>
          <w:bCs/>
        </w:rPr>
        <w:t>ALLEGATO II.10 - Disposizioni in materia di possibile esclusione dell’operatore economico dalla partecipazione a una procedura d’appalto per gravi violazioni in materia fiscale non definitivamente accertate (articoli 94, comma 6 e 95, comma 2, del Codice)</w:t>
      </w:r>
    </w:p>
    <w:p w14:paraId="19AFFD94" w14:textId="77777777" w:rsidR="005D5842" w:rsidRDefault="00000000">
      <w:pPr>
        <w:pStyle w:val="Testonotaapidipagina"/>
        <w:jc w:val="lowKashida"/>
        <w:rPr>
          <w:b/>
          <w:bCs/>
          <w:i/>
          <w:iCs/>
        </w:rPr>
      </w:pPr>
      <w:r>
        <w:rPr>
          <w:b/>
          <w:bCs/>
          <w:i/>
          <w:iCs/>
        </w:rPr>
        <w:t>Art. 1. Oggetto</w:t>
      </w:r>
    </w:p>
    <w:p w14:paraId="0F9FC766" w14:textId="77777777" w:rsidR="005D5842" w:rsidRDefault="00000000">
      <w:pPr>
        <w:pStyle w:val="Testonotaapidipagina"/>
        <w:jc w:val="lowKashida"/>
        <w:rPr>
          <w:i/>
          <w:iCs/>
        </w:rPr>
      </w:pPr>
      <w:r>
        <w:rPr>
          <w:i/>
          <w:iCs/>
        </w:rPr>
        <w:t>1. Ai sensi e per gli effetti dell’articoli 94, comma 6, del codice,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 impugnazione. Costituiscono gravi violazioni in materia contributiva e previdenziale quelle ostative al rilascio del documento unico di regolarità contributiva (DURC), di cui al decreto del Ministro del lavoro e delle politiche sociali 30 gennaio 2015, pubblicato nella Gazzetta Ufficiale della Repubblica italiana n. 125 del 1° giugno 2015, ovvero delle certificazioni rilasciate dagli enti previdenziali di riferimento non aderenti al sistema dello sportello unico previdenziale.</w:t>
      </w:r>
    </w:p>
    <w:p w14:paraId="7FB1431B" w14:textId="77777777" w:rsidR="005D5842" w:rsidRDefault="00000000">
      <w:pPr>
        <w:pStyle w:val="Testonotaapidipagina"/>
        <w:jc w:val="lowKashida"/>
        <w:rPr>
          <w:i/>
          <w:iCs/>
        </w:rPr>
      </w:pPr>
      <w:r>
        <w:rPr>
          <w:i/>
          <w:iCs/>
        </w:rPr>
        <w:t>2. In relazione agli articoli 94, comma 6 e 95, comma 2, si considera mezzo di prova, con riferimento ai contributi previdenziali e assistenziali, il documento unico di regolarità contributiva acquisito d'ufficio dalle stazioni appaltanti presso gli istituti previdenziali ai sensi della normativa vigente.</w:t>
      </w:r>
    </w:p>
    <w:p w14:paraId="4E6865B5" w14:textId="77777777" w:rsidR="005D5842" w:rsidRDefault="005D5842">
      <w:pPr>
        <w:pStyle w:val="Testonotaapidipagina"/>
        <w:jc w:val="lowKashida"/>
        <w:rPr>
          <w:i/>
          <w:iCs/>
        </w:rPr>
      </w:pPr>
    </w:p>
    <w:p w14:paraId="1612B72F" w14:textId="77777777" w:rsidR="005D5842" w:rsidRDefault="00000000">
      <w:pPr>
        <w:pStyle w:val="Testonotaapidipagina"/>
        <w:jc w:val="lowKashida"/>
        <w:rPr>
          <w:b/>
          <w:bCs/>
          <w:i/>
          <w:iCs/>
        </w:rPr>
      </w:pPr>
      <w:r>
        <w:rPr>
          <w:b/>
          <w:bCs/>
          <w:i/>
          <w:iCs/>
        </w:rPr>
        <w:t xml:space="preserve">Art. 2. Ambito di applicazione </w:t>
      </w:r>
    </w:p>
    <w:p w14:paraId="670A4529" w14:textId="77777777" w:rsidR="005D5842" w:rsidRDefault="00000000">
      <w:pPr>
        <w:pStyle w:val="Testonotaapidipagina"/>
        <w:jc w:val="lowKashida"/>
        <w:rPr>
          <w:i/>
          <w:iCs/>
        </w:rPr>
      </w:pPr>
      <w:r>
        <w:rPr>
          <w:i/>
          <w:iCs/>
        </w:rPr>
        <w:t>1. Ai sensi e per gli effetti dell’articolo 95, comma 2, del codice, si considera violazione l’inottemperanza agli obblighi, relativi al pagamento di imposte e tasse derivanti dalla:</w:t>
      </w:r>
    </w:p>
    <w:p w14:paraId="100C33DA" w14:textId="77777777" w:rsidR="005D5842" w:rsidRDefault="00000000">
      <w:pPr>
        <w:pStyle w:val="Testonotaapidipagina"/>
        <w:jc w:val="lowKashida"/>
        <w:rPr>
          <w:i/>
          <w:iCs/>
        </w:rPr>
      </w:pPr>
      <w:r>
        <w:rPr>
          <w:i/>
          <w:iCs/>
        </w:rPr>
        <w:t>a) notifica di atti impositivi, conseguenti ad attività di controllo degli uffici;</w:t>
      </w:r>
    </w:p>
    <w:p w14:paraId="3F2DF2A2" w14:textId="77777777" w:rsidR="005D5842" w:rsidRDefault="00000000">
      <w:pPr>
        <w:pStyle w:val="Testonotaapidipagina"/>
        <w:jc w:val="lowKashida"/>
        <w:rPr>
          <w:i/>
          <w:iCs/>
        </w:rPr>
      </w:pPr>
      <w:r>
        <w:rPr>
          <w:i/>
          <w:iCs/>
        </w:rPr>
        <w:t>b) notifica di atti impositivi, conseguenti ad attività di liquidazione degli uffici;</w:t>
      </w:r>
    </w:p>
    <w:p w14:paraId="60C212C8" w14:textId="77777777" w:rsidR="005D5842" w:rsidRDefault="00000000">
      <w:pPr>
        <w:pStyle w:val="Testonotaapidipagina"/>
        <w:jc w:val="lowKashida"/>
        <w:rPr>
          <w:i/>
          <w:iCs/>
        </w:rPr>
      </w:pPr>
      <w:r>
        <w:rPr>
          <w:i/>
          <w:iCs/>
        </w:rPr>
        <w:t>c) notifica di cartelle di pagamento concernenti pretese tributarie, oggetto di comunicazioni di irregolarità emesse a seguito di controllo automatizzato o formale della dichiarazione, ai sensi degli articoli 36-bis e 36-ter del decreto del Presidente della Repubblica 29 settembre 1973, n. 600 e dell’art. 54-bis del decreto del Presidente della Repubblica 26 ottobre 1972, n. 633.</w:t>
      </w:r>
    </w:p>
    <w:p w14:paraId="10576C02" w14:textId="77777777" w:rsidR="005D5842" w:rsidRDefault="005D5842">
      <w:pPr>
        <w:pStyle w:val="Testonotaapidipagina"/>
        <w:jc w:val="lowKashida"/>
        <w:rPr>
          <w:i/>
          <w:iCs/>
        </w:rPr>
      </w:pPr>
    </w:p>
    <w:p w14:paraId="04D74B0B" w14:textId="77777777" w:rsidR="005D5842" w:rsidRDefault="00000000">
      <w:pPr>
        <w:pStyle w:val="Testonotaapidipagina"/>
        <w:jc w:val="lowKashida"/>
        <w:rPr>
          <w:b/>
          <w:bCs/>
          <w:i/>
          <w:iCs/>
        </w:rPr>
      </w:pPr>
      <w:r>
        <w:rPr>
          <w:b/>
          <w:bCs/>
          <w:i/>
          <w:iCs/>
        </w:rPr>
        <w:t>Art. 3. Soglia di gravità</w:t>
      </w:r>
    </w:p>
    <w:p w14:paraId="52668EF5" w14:textId="77777777" w:rsidR="005D5842" w:rsidRDefault="00000000">
      <w:pPr>
        <w:pStyle w:val="Testonotaapidipagina"/>
        <w:jc w:val="lowKashida"/>
        <w:rPr>
          <w:i/>
          <w:iCs/>
        </w:rPr>
      </w:pPr>
      <w:r>
        <w:rPr>
          <w:i/>
          <w:iCs/>
        </w:rPr>
        <w:t xml:space="preserve">1. Ai sensi e per gli effetti dell’art.95, comma 2, del codice, </w:t>
      </w:r>
      <w:r>
        <w:rPr>
          <w:b/>
          <w:bCs/>
          <w:i/>
          <w:iCs/>
          <w:u w:val="single"/>
        </w:rPr>
        <w:t>la violazione si considera grave quando comporta l'inottemperanza a un obbligo di pagamento di imposte o tasse per un importo che, con esclusione di sanzioni e interessi, è pari o superiore al 10 per cento del valore dell'appalto</w:t>
      </w:r>
      <w:r>
        <w:rPr>
          <w:i/>
          <w:iCs/>
        </w:rPr>
        <w:t>. Per gli appalti suddivisi in lotti, la soglia di gravità è rapportata al valore del lotto o dei lotti per i quali l'operatore economico concorre. In caso di subappalto o di partecipazione in raggruppamenti temporanei o in consorzi, la soglia di gravità riferita al subappaltatore o al partecipante al raggruppamento o al consorzio è rapportata al valore della prestazione assunta dal singolo operatore economico. I</w:t>
      </w:r>
      <w:r>
        <w:rPr>
          <w:b/>
          <w:bCs/>
          <w:i/>
          <w:iCs/>
          <w:u w:val="single"/>
        </w:rPr>
        <w:t>n ogni caso, l'importo della violazione non deve essere inferiore a 35.000 euro.</w:t>
      </w:r>
      <w:r>
        <w:rPr>
          <w:i/>
          <w:iCs/>
        </w:rPr>
        <w:t xml:space="preserve"> </w:t>
      </w:r>
      <w:r>
        <w:rPr>
          <w:b/>
          <w:bCs/>
          <w:i/>
          <w:iCs/>
          <w:u w:val="single"/>
        </w:rPr>
        <w:t>Costituiscono gravi violazioni in materia contributiva e previdenziale quelle ostative al rilascio del DURC</w:t>
      </w:r>
      <w:r>
        <w:rPr>
          <w:i/>
          <w:iCs/>
        </w:rPr>
        <w:t>, di cui al decreto del Ministro del lavoro e delle politiche sociali 30 gennaio 2015, ovvero delle certificazioni rilasciate dagli enti previdenziali di riferimento non aderenti al sistema dello sportello unico previdenziale.</w:t>
      </w:r>
    </w:p>
    <w:p w14:paraId="43871C0E" w14:textId="77777777" w:rsidR="005D5842" w:rsidRDefault="005D5842">
      <w:pPr>
        <w:pStyle w:val="Testonotaapidipagina"/>
        <w:jc w:val="lowKashida"/>
        <w:rPr>
          <w:i/>
          <w:iCs/>
        </w:rPr>
      </w:pPr>
    </w:p>
    <w:p w14:paraId="314C10C4" w14:textId="77777777" w:rsidR="005D5842" w:rsidRDefault="00000000">
      <w:pPr>
        <w:pStyle w:val="Testonotaapidipagina"/>
        <w:jc w:val="lowKashida"/>
        <w:rPr>
          <w:b/>
          <w:bCs/>
          <w:i/>
          <w:iCs/>
        </w:rPr>
      </w:pPr>
      <w:r>
        <w:rPr>
          <w:b/>
          <w:bCs/>
          <w:i/>
          <w:iCs/>
        </w:rPr>
        <w:t>Art. 4.</w:t>
      </w:r>
    </w:p>
    <w:p w14:paraId="4E2BF436" w14:textId="77777777" w:rsidR="005D5842" w:rsidRDefault="00000000">
      <w:pPr>
        <w:pStyle w:val="Testonotaapidipagina"/>
        <w:jc w:val="lowKashida"/>
        <w:rPr>
          <w:i/>
          <w:iCs/>
        </w:rPr>
      </w:pPr>
      <w:r>
        <w:rPr>
          <w:i/>
          <w:iCs/>
        </w:rPr>
        <w:t>1. Ai sensi e per gli effetti dell’articolo 95, comma 2, del codice, la violazione grave di cui all'articolo 3, comma 1, del presente allegato si considera non definitivamente accertata, e pertanto valutabile dalla stazione appaltante per l'esclusione dalla partecipazione alle procedure di affidamento di contratti pubblici, quando siano decorsi inutilmente i termini per adempiere all'obbligo di pagamento e l'atto impositivo o la cartella di pagamento siano stati tempestivamente impugnati.</w:t>
      </w:r>
    </w:p>
    <w:p w14:paraId="0744A0A0" w14:textId="77777777" w:rsidR="005D5842" w:rsidRDefault="00000000">
      <w:pPr>
        <w:pStyle w:val="Testonotaapidipagina"/>
        <w:jc w:val="lowKashida"/>
        <w:rPr>
          <w:i/>
          <w:iCs/>
        </w:rPr>
      </w:pPr>
      <w:r>
        <w:rPr>
          <w:i/>
          <w:iCs/>
        </w:rPr>
        <w:t>2. Le violazioni di cui al comma 1 non rilevano ai fini dell'esclusione dell'operatore economico dalla partecipazione alla procedura d'appalto se in relazione alle stesse è intervenuta una pronuncia giurisdizionale favorevole all'operatore economico non passata in giudicato, sino all'eventuale riforma della stessa o sino a che la violazione risulti definitivamente accertata, ovvero se sono stati adottati provvedimenti di sospensione giurisdizionale o amministrativa.</w:t>
      </w:r>
    </w:p>
    <w:p w14:paraId="6ED2C7E7" w14:textId="77777777" w:rsidR="005D5842" w:rsidRDefault="00000000">
      <w:pPr>
        <w:pStyle w:val="Testonotaapidipagina"/>
        <w:jc w:val="lowKashida"/>
        <w:rPr>
          <w:i/>
          <w:iCs/>
        </w:rPr>
      </w:pPr>
      <w:r>
        <w:t>Ai sensi dell’art. 95, comma 2, del D. Lgs. 36/2023</w:t>
      </w:r>
      <w:r>
        <w:rPr>
          <w:i/>
          <w:iCs/>
        </w:rPr>
        <w:t>: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5">
    <w:p w14:paraId="274BE873" w14:textId="77777777" w:rsidR="005D5842" w:rsidRDefault="00000000">
      <w:pPr>
        <w:pStyle w:val="Testonotaapidipagina"/>
        <w:jc w:val="lowKashida"/>
      </w:pPr>
      <w:r>
        <w:rPr>
          <w:rStyle w:val="Rimandonotaapidipagina"/>
        </w:rPr>
        <w:footnoteRef/>
      </w:r>
      <w:r>
        <w:t xml:space="preserve"> </w:t>
      </w:r>
      <w:r>
        <w:rPr>
          <w:b/>
          <w:bCs/>
        </w:rPr>
        <w:t>Ai sensi dell’art.98 del D. Lgs. 36/2023:</w:t>
      </w:r>
    </w:p>
    <w:p w14:paraId="26213D40" w14:textId="77777777" w:rsidR="005D5842" w:rsidRDefault="00000000">
      <w:pPr>
        <w:pStyle w:val="Testonotaapidipagina"/>
        <w:jc w:val="lowKashida"/>
        <w:rPr>
          <w:i/>
          <w:iCs/>
        </w:rPr>
      </w:pPr>
      <w:r>
        <w:rPr>
          <w:i/>
          <w:iCs/>
        </w:rPr>
        <w:t>1. L’illecito professionale grave rileva solo se compiuto dall’operatore economico offerente, salvo quanto previsto dal comma 3, lettere g) ed h).</w:t>
      </w:r>
    </w:p>
    <w:p w14:paraId="64377FF0" w14:textId="77777777" w:rsidR="005D5842" w:rsidRDefault="00000000">
      <w:pPr>
        <w:pStyle w:val="Testonotaapidipagina"/>
        <w:jc w:val="lowKashida"/>
        <w:rPr>
          <w:i/>
          <w:iCs/>
        </w:rPr>
      </w:pPr>
      <w:r>
        <w:rPr>
          <w:i/>
          <w:iCs/>
        </w:rPr>
        <w:t>2. L’esclusione di un operatore economico ai sensi dell’articolo 95, comma 1, lettera e) è disposta e comunicata dalla stazione appaltante quando ricorrono tutte le seguenti condizioni:</w:t>
      </w:r>
    </w:p>
    <w:p w14:paraId="4034032A" w14:textId="77777777" w:rsidR="005D5842" w:rsidRDefault="00000000">
      <w:pPr>
        <w:pStyle w:val="Testonotaapidipagina"/>
        <w:jc w:val="lowKashida"/>
        <w:rPr>
          <w:i/>
          <w:iCs/>
        </w:rPr>
      </w:pPr>
      <w:r>
        <w:rPr>
          <w:i/>
          <w:iCs/>
        </w:rPr>
        <w:t>a) elementi sufficienti ad integrare il grave illecito professionale;</w:t>
      </w:r>
    </w:p>
    <w:p w14:paraId="266A2818" w14:textId="77777777" w:rsidR="005D5842" w:rsidRDefault="00000000">
      <w:pPr>
        <w:pStyle w:val="Testonotaapidipagina"/>
        <w:jc w:val="lowKashida"/>
        <w:rPr>
          <w:i/>
          <w:iCs/>
        </w:rPr>
      </w:pPr>
      <w:r>
        <w:rPr>
          <w:i/>
          <w:iCs/>
        </w:rPr>
        <w:t>b) idoneità del grave illecito professionale ad incidere sull’affidabilità e integrità dell’operatore;</w:t>
      </w:r>
    </w:p>
    <w:p w14:paraId="5190DF48" w14:textId="77777777" w:rsidR="005D5842" w:rsidRDefault="00000000">
      <w:pPr>
        <w:pStyle w:val="Testonotaapidipagina"/>
        <w:jc w:val="lowKashida"/>
        <w:rPr>
          <w:i/>
          <w:iCs/>
        </w:rPr>
      </w:pPr>
      <w:r>
        <w:rPr>
          <w:i/>
          <w:iCs/>
        </w:rPr>
        <w:t>c) adeguati mezzi di prova di cui al comma 6.</w:t>
      </w:r>
    </w:p>
    <w:p w14:paraId="3DD2C0B2" w14:textId="77777777" w:rsidR="005D5842" w:rsidRDefault="005D5842">
      <w:pPr>
        <w:pStyle w:val="Testonotaapidipagina"/>
        <w:jc w:val="lowKashida"/>
        <w:rPr>
          <w:i/>
          <w:iCs/>
        </w:rPr>
      </w:pPr>
    </w:p>
    <w:p w14:paraId="593749F3" w14:textId="77777777" w:rsidR="005D5842" w:rsidRDefault="00000000">
      <w:pPr>
        <w:pStyle w:val="Testonotaapidipagina"/>
        <w:jc w:val="lowKashida"/>
        <w:rPr>
          <w:i/>
          <w:iCs/>
        </w:rPr>
      </w:pPr>
      <w:r>
        <w:rPr>
          <w:i/>
          <w:iCs/>
        </w:rPr>
        <w:t>3. L’illecito professionale si può desumere al verificarsi di almeno uno dei seguenti elementi:</w:t>
      </w:r>
    </w:p>
    <w:p w14:paraId="391CCE96" w14:textId="77777777" w:rsidR="005D5842" w:rsidRDefault="00000000">
      <w:pPr>
        <w:pStyle w:val="Testonotaapidipagina"/>
        <w:jc w:val="lowKashida"/>
        <w:rPr>
          <w:i/>
          <w:iCs/>
        </w:rPr>
      </w:pPr>
      <w:r>
        <w:rPr>
          <w:i/>
          <w:iCs/>
        </w:rPr>
        <w:t>a) sanzione esecutiva irrogata dall’Autorità garante della concorrenza e del mercato o da altra autorità di settore, rilevante in relazione all’oggetto specifico dell’appalto;</w:t>
      </w:r>
    </w:p>
    <w:p w14:paraId="212E2C22" w14:textId="77777777" w:rsidR="005D5842" w:rsidRDefault="00000000">
      <w:pPr>
        <w:pStyle w:val="Testonotaapidipagina"/>
        <w:jc w:val="lowKashida"/>
        <w:rPr>
          <w:i/>
          <w:iCs/>
        </w:rPr>
      </w:pPr>
      <w:r>
        <w:rPr>
          <w:i/>
          <w:iCs/>
        </w:rPr>
        <w:t>b) condotta dell'operatore economico che abbia tentato di influenzare indebitamente il processo decisionale della stazione appaltante o di ottenere informazioni riservate a proprio vantaggio oppure che abbia fornito, anche per negligenza, informazioni</w:t>
      </w:r>
      <w:r>
        <w:t xml:space="preserve"> </w:t>
      </w:r>
      <w:r>
        <w:rPr>
          <w:i/>
          <w:iCs/>
        </w:rPr>
        <w:t>false o fuorvianti suscettibili di influenzare le decisioni sull'esclusione, la selezione o l'aggiudicazione;</w:t>
      </w:r>
    </w:p>
    <w:p w14:paraId="035FCD73" w14:textId="77777777" w:rsidR="005D5842" w:rsidRDefault="00000000">
      <w:pPr>
        <w:pStyle w:val="Testonotaapidipagina"/>
        <w:jc w:val="lowKashida"/>
        <w:rPr>
          <w:i/>
          <w:iCs/>
        </w:rPr>
      </w:pPr>
      <w:r>
        <w:rPr>
          <w:i/>
          <w:iCs/>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0D5977FE" w14:textId="77777777" w:rsidR="005D5842" w:rsidRDefault="00000000">
      <w:pPr>
        <w:pStyle w:val="Testonotaapidipagina"/>
        <w:jc w:val="lowKashida"/>
        <w:rPr>
          <w:i/>
          <w:iCs/>
        </w:rPr>
      </w:pPr>
      <w:r>
        <w:rPr>
          <w:i/>
          <w:iCs/>
        </w:rPr>
        <w:t>d) condotta dell'operatore economico che abbia commesso grave inadempimento nei confronti di uno o più subappaltatori;</w:t>
      </w:r>
    </w:p>
    <w:p w14:paraId="3C5CFC21" w14:textId="77777777" w:rsidR="005D5842" w:rsidRDefault="00000000">
      <w:pPr>
        <w:pStyle w:val="Testonotaapidipagina"/>
        <w:jc w:val="lowKashida"/>
        <w:rPr>
          <w:i/>
          <w:iCs/>
        </w:rPr>
      </w:pPr>
      <w:r>
        <w:rPr>
          <w:i/>
          <w:iCs/>
        </w:rPr>
        <w:t>e) condotta dell'operatore economico che abbia violato il divieto di intestazione fiduciaria di cui all'articolo 17 della legge 19 marzo 1990, n. 55, laddove la violazione non sia stata rimossa;</w:t>
      </w:r>
    </w:p>
    <w:p w14:paraId="564141F2" w14:textId="77777777" w:rsidR="005D5842" w:rsidRDefault="00000000">
      <w:pPr>
        <w:pStyle w:val="Testonotaapidipagina"/>
        <w:jc w:val="lowKashida"/>
        <w:rPr>
          <w:i/>
          <w:iCs/>
        </w:rPr>
      </w:pPr>
      <w:r>
        <w:rPr>
          <w:i/>
          <w:iCs/>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208BD774" w14:textId="77777777" w:rsidR="005D5842" w:rsidRDefault="00000000">
      <w:pPr>
        <w:pStyle w:val="Testonotaapidipagina"/>
        <w:jc w:val="lowKashida"/>
        <w:rPr>
          <w:i/>
          <w:iCs/>
        </w:rPr>
      </w:pPr>
      <w:r>
        <w:rPr>
          <w:i/>
          <w:iCs/>
        </w:rPr>
        <w:t>g) contestata commissione da parte dell’operatore economico, ovvero dei soggetti di cui al comma 3 dell’articolo 94 di taluno dei reati consumati o tentati di cui al comma 1 del medesimo articolo 94;</w:t>
      </w:r>
    </w:p>
    <w:p w14:paraId="2FD53E41" w14:textId="77777777" w:rsidR="005D5842" w:rsidRDefault="00000000">
      <w:pPr>
        <w:pStyle w:val="Testonotaapidipagina"/>
        <w:jc w:val="lowKashida"/>
        <w:rPr>
          <w:i/>
          <w:iCs/>
        </w:rPr>
      </w:pPr>
      <w:r>
        <w:rPr>
          <w:i/>
          <w:iCs/>
        </w:rPr>
        <w:t>h) contestata o accertata commissione, da parte dell’operatore economico oppure dei soggetti di cui al comma 3 dell’articolo 94, di taluno dei seguenti reati consumati:</w:t>
      </w:r>
    </w:p>
    <w:p w14:paraId="22C21789" w14:textId="77777777" w:rsidR="005D5842" w:rsidRDefault="00000000">
      <w:pPr>
        <w:pStyle w:val="Testonotaapidipagina"/>
        <w:numPr>
          <w:ilvl w:val="0"/>
          <w:numId w:val="5"/>
        </w:numPr>
        <w:jc w:val="lowKashida"/>
        <w:rPr>
          <w:i/>
          <w:iCs/>
        </w:rPr>
      </w:pPr>
      <w:r>
        <w:rPr>
          <w:i/>
          <w:iCs/>
        </w:rPr>
        <w:t>abusivo esercizio di una professione, ai sensi dell’articolo 348 del codice penale;</w:t>
      </w:r>
    </w:p>
    <w:p w14:paraId="0B0DA708" w14:textId="77777777" w:rsidR="005D5842" w:rsidRDefault="00000000">
      <w:pPr>
        <w:pStyle w:val="Testonotaapidipagina"/>
        <w:numPr>
          <w:ilvl w:val="0"/>
          <w:numId w:val="5"/>
        </w:numPr>
        <w:jc w:val="lowKashida"/>
        <w:rPr>
          <w:i/>
          <w:iCs/>
        </w:rPr>
      </w:pPr>
      <w:r>
        <w:rPr>
          <w:i/>
          <w:iCs/>
        </w:rPr>
        <w:t>bancarotta semplice, bancarotta fraudolenta, omessa dichiarazione di beni da comprendere nell’inventario fallimentare o ricorso abusivo al credito, di cui agli articoli 216, 217, 218 e 220 del regio decreto 16 marzo 1942, n. 267;</w:t>
      </w:r>
    </w:p>
    <w:p w14:paraId="25CDA397" w14:textId="77777777" w:rsidR="005D5842" w:rsidRDefault="00000000">
      <w:pPr>
        <w:pStyle w:val="Testonotaapidipagina"/>
        <w:numPr>
          <w:ilvl w:val="0"/>
          <w:numId w:val="5"/>
        </w:numPr>
        <w:jc w:val="lowKashida"/>
        <w:rPr>
          <w:i/>
          <w:iCs/>
        </w:rPr>
      </w:pPr>
      <w:r>
        <w:rPr>
          <w:i/>
          <w:iCs/>
        </w:rPr>
        <w:t>i reati tributari ai sensi del decreto legislativo 10 marzo 2000, n. 74, i delitti societari di cui agli articoli 2621 e seguenti del codice civile o i delitti contro l’industria e il commercio di cui agli articoli da 513 a 517 del codice penale;</w:t>
      </w:r>
    </w:p>
    <w:p w14:paraId="5D09AED9" w14:textId="77777777" w:rsidR="005D5842" w:rsidRDefault="00000000">
      <w:pPr>
        <w:pStyle w:val="Testonotaapidipagina"/>
        <w:numPr>
          <w:ilvl w:val="0"/>
          <w:numId w:val="5"/>
        </w:numPr>
        <w:jc w:val="lowKashida"/>
        <w:rPr>
          <w:i/>
          <w:iCs/>
        </w:rPr>
      </w:pPr>
      <w:r>
        <w:rPr>
          <w:i/>
          <w:iCs/>
        </w:rPr>
        <w:t>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7859040" w14:textId="77777777" w:rsidR="005D5842" w:rsidRDefault="00000000">
      <w:pPr>
        <w:pStyle w:val="Testonotaapidipagina"/>
        <w:numPr>
          <w:ilvl w:val="0"/>
          <w:numId w:val="5"/>
        </w:numPr>
        <w:jc w:val="lowKashida"/>
        <w:rPr>
          <w:i/>
          <w:iCs/>
        </w:rPr>
      </w:pPr>
      <w:r>
        <w:rPr>
          <w:i/>
          <w:iCs/>
        </w:rPr>
        <w:t>i reati previsti dal decreto legislativo 8 giugno 2001, n. 231.</w:t>
      </w:r>
    </w:p>
    <w:p w14:paraId="39FBC3CA" w14:textId="77777777" w:rsidR="005D5842" w:rsidRDefault="005D5842">
      <w:pPr>
        <w:pStyle w:val="Testonotaapidipagina"/>
        <w:jc w:val="lowKashida"/>
      </w:pPr>
    </w:p>
    <w:p w14:paraId="0A92DC60" w14:textId="77777777" w:rsidR="005D5842" w:rsidRDefault="00000000">
      <w:pPr>
        <w:pStyle w:val="Testonotaapidipagina"/>
        <w:jc w:val="lowKashida"/>
        <w:rPr>
          <w:i/>
          <w:iCs/>
        </w:rPr>
      </w:pPr>
      <w:r>
        <w:rPr>
          <w:i/>
          <w:iCs/>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3F1D06FF" w14:textId="77777777" w:rsidR="005D5842" w:rsidRDefault="005D5842">
      <w:pPr>
        <w:pStyle w:val="Testonotaapidipagina"/>
        <w:jc w:val="lowKashida"/>
        <w:rPr>
          <w:i/>
          <w:iCs/>
        </w:rPr>
      </w:pPr>
    </w:p>
    <w:p w14:paraId="57A24059" w14:textId="77777777" w:rsidR="005D5842" w:rsidRDefault="00000000">
      <w:pPr>
        <w:pStyle w:val="Testonotaapidipagina"/>
        <w:jc w:val="lowKashida"/>
        <w:rPr>
          <w:i/>
          <w:iCs/>
        </w:rPr>
      </w:pPr>
      <w:r>
        <w:rPr>
          <w:i/>
          <w:iCs/>
        </w:rPr>
        <w:t>5. Le dichiarazioni omesse o non veritiere rese nella stessa gara e diverse da quelle di cui alla lettera b) del comma 3 possono essere utilizzate a supporto della valutazione di gravità riferita agli elementi di cui al comma 3.</w:t>
      </w:r>
    </w:p>
    <w:p w14:paraId="068B7CC3" w14:textId="77777777" w:rsidR="005D5842" w:rsidRDefault="005D5842">
      <w:pPr>
        <w:pStyle w:val="Testonotaapidipagina"/>
        <w:jc w:val="lowKashida"/>
        <w:rPr>
          <w:i/>
          <w:iCs/>
        </w:rPr>
      </w:pPr>
    </w:p>
    <w:p w14:paraId="303E03EE" w14:textId="77777777" w:rsidR="005D5842" w:rsidRDefault="00000000">
      <w:pPr>
        <w:pStyle w:val="Testonotaapidipagina"/>
        <w:jc w:val="lowKashida"/>
        <w:rPr>
          <w:i/>
          <w:iCs/>
        </w:rPr>
      </w:pPr>
      <w:r>
        <w:rPr>
          <w:i/>
          <w:iCs/>
        </w:rPr>
        <w:t>6. Costituiscono mezzi di prova adeguati, in relazione al comma 3:</w:t>
      </w:r>
    </w:p>
    <w:p w14:paraId="5629990D" w14:textId="77777777" w:rsidR="005D5842" w:rsidRDefault="00000000">
      <w:pPr>
        <w:pStyle w:val="Testonotaapidipagina"/>
        <w:numPr>
          <w:ilvl w:val="0"/>
          <w:numId w:val="8"/>
        </w:numPr>
        <w:jc w:val="lowKashida"/>
        <w:rPr>
          <w:i/>
          <w:iCs/>
        </w:rPr>
      </w:pPr>
      <w:r>
        <w:rPr>
          <w:i/>
          <w:iCs/>
        </w:rPr>
        <w:t>quanto alla lettera a), i provvedimenti sanzionatori esecutivi resi dall’Autorità garante della concorrenza e del mercato o da altra autorità di settore;</w:t>
      </w:r>
    </w:p>
    <w:p w14:paraId="14E16E87" w14:textId="77777777" w:rsidR="005D5842" w:rsidRDefault="00000000">
      <w:pPr>
        <w:pStyle w:val="Testonotaapidipagina"/>
        <w:numPr>
          <w:ilvl w:val="0"/>
          <w:numId w:val="8"/>
        </w:numPr>
        <w:jc w:val="lowKashida"/>
        <w:rPr>
          <w:i/>
          <w:iCs/>
        </w:rPr>
      </w:pPr>
      <w:r>
        <w:rPr>
          <w:i/>
          <w:iCs/>
        </w:rPr>
        <w:t>quanto alla lettera b), la presenza di indizi gravi, precisi e concordanti che rendano evidente il ricorrere della situazione escludente;</w:t>
      </w:r>
    </w:p>
    <w:p w14:paraId="2759EC9D" w14:textId="77777777" w:rsidR="005D5842" w:rsidRDefault="00000000">
      <w:pPr>
        <w:pStyle w:val="Testonotaapidipagina"/>
        <w:numPr>
          <w:ilvl w:val="0"/>
          <w:numId w:val="8"/>
        </w:numPr>
        <w:jc w:val="lowKashida"/>
        <w:rPr>
          <w:i/>
          <w:iCs/>
        </w:rPr>
      </w:pPr>
      <w:r>
        <w:rPr>
          <w:i/>
          <w:iCs/>
        </w:rPr>
        <w:t>quanto alla lettera c), l’intervenuta risoluzione per inadempimento o la condanna al risarcimento del danno o ad altre conseguenze comparabili;</w:t>
      </w:r>
    </w:p>
    <w:p w14:paraId="3FD70605" w14:textId="77777777" w:rsidR="005D5842" w:rsidRDefault="00000000">
      <w:pPr>
        <w:pStyle w:val="Testonotaapidipagina"/>
        <w:numPr>
          <w:ilvl w:val="0"/>
          <w:numId w:val="8"/>
        </w:numPr>
        <w:jc w:val="lowKashida"/>
        <w:rPr>
          <w:i/>
          <w:iCs/>
        </w:rPr>
      </w:pPr>
      <w:r>
        <w:rPr>
          <w:i/>
          <w:iCs/>
        </w:rPr>
        <w:t>quanto alla lettera d), la emissione di provvedimenti giurisdizionali anche non definitivi;</w:t>
      </w:r>
    </w:p>
    <w:p w14:paraId="370ED67E" w14:textId="77777777" w:rsidR="005D5842" w:rsidRDefault="00000000">
      <w:pPr>
        <w:pStyle w:val="Testonotaapidipagina"/>
        <w:numPr>
          <w:ilvl w:val="0"/>
          <w:numId w:val="8"/>
        </w:numPr>
        <w:jc w:val="lowKashida"/>
        <w:rPr>
          <w:i/>
          <w:iCs/>
        </w:rPr>
      </w:pPr>
      <w:r>
        <w:rPr>
          <w:i/>
          <w:iCs/>
        </w:rPr>
        <w:t>quanto alla lettera e), l'accertamento definitivo della violazione;</w:t>
      </w:r>
    </w:p>
    <w:p w14:paraId="4F477019" w14:textId="77777777" w:rsidR="005D5842" w:rsidRDefault="00000000">
      <w:pPr>
        <w:pStyle w:val="Testonotaapidipagina"/>
        <w:numPr>
          <w:ilvl w:val="0"/>
          <w:numId w:val="8"/>
        </w:numPr>
        <w:jc w:val="lowKashida"/>
        <w:rPr>
          <w:i/>
          <w:iCs/>
        </w:rPr>
      </w:pPr>
      <w:r>
        <w:rPr>
          <w:i/>
          <w:iCs/>
        </w:rPr>
        <w:t>quanto alla lettera f), gli elementi ivi indicati;</w:t>
      </w:r>
    </w:p>
    <w:p w14:paraId="02A43E23" w14:textId="77777777" w:rsidR="005D5842" w:rsidRDefault="00000000">
      <w:pPr>
        <w:pStyle w:val="Testonotaapidipagina"/>
        <w:numPr>
          <w:ilvl w:val="0"/>
          <w:numId w:val="8"/>
        </w:numPr>
        <w:jc w:val="lowKashida"/>
        <w:rPr>
          <w:i/>
          <w:iCs/>
        </w:rPr>
      </w:pPr>
      <w:r>
        <w:rPr>
          <w:i/>
          <w:iCs/>
        </w:rPr>
        <w:t>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71F06A07" w14:textId="77777777" w:rsidR="005D5842" w:rsidRDefault="00000000">
      <w:pPr>
        <w:pStyle w:val="Testonotaapidipagina"/>
        <w:numPr>
          <w:ilvl w:val="0"/>
          <w:numId w:val="8"/>
        </w:numPr>
        <w:jc w:val="lowKashida"/>
        <w:rPr>
          <w:i/>
          <w:iCs/>
        </w:rPr>
      </w:pPr>
      <w:r>
        <w:rPr>
          <w:i/>
          <w:iCs/>
        </w:rPr>
        <w:t>quanto alla lettera h), la sentenza di condanna definitiva, il decreto penale di condanna irrevocabile, e la condanna non definitiva, i provvedimenti cautelari reali o personali, ove emessi dal giudice penale.</w:t>
      </w:r>
    </w:p>
    <w:p w14:paraId="2F2079EB" w14:textId="77777777" w:rsidR="005D5842" w:rsidRDefault="005D5842">
      <w:pPr>
        <w:pStyle w:val="Testonotaapidipagina"/>
        <w:jc w:val="lowKashida"/>
        <w:rPr>
          <w:i/>
          <w:iCs/>
        </w:rPr>
      </w:pPr>
    </w:p>
    <w:p w14:paraId="0BF20205" w14:textId="77777777" w:rsidR="005D5842" w:rsidRDefault="00000000">
      <w:pPr>
        <w:pStyle w:val="Testonotaapidipagina"/>
        <w:jc w:val="lowKashida"/>
        <w:rPr>
          <w:i/>
          <w:iCs/>
        </w:rPr>
      </w:pPr>
      <w:r>
        <w:rPr>
          <w:i/>
          <w:iCs/>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5E441E88" w14:textId="77777777" w:rsidR="005D5842" w:rsidRDefault="00000000">
      <w:pPr>
        <w:pStyle w:val="Testonotaapidipagina"/>
        <w:rPr>
          <w:i/>
          <w:iCs/>
        </w:rPr>
      </w:pPr>
      <w:r>
        <w:rPr>
          <w:i/>
          <w:iCs/>
        </w:rPr>
        <w:t>8. Il provvedimento di esclusione deve essere motivato in relazione a tutte e tre le condizioni di cui al comma 2.</w:t>
      </w:r>
    </w:p>
    <w:p w14:paraId="76542164" w14:textId="77777777" w:rsidR="005D5842" w:rsidRDefault="005D5842">
      <w:pPr>
        <w:pStyle w:val="Testonotaapidipagina"/>
        <w:rPr>
          <w:i/>
          <w:iCs/>
        </w:rPr>
      </w:pPr>
    </w:p>
  </w:footnote>
  <w:footnote w:id="6">
    <w:p w14:paraId="1491FF4E" w14:textId="77777777" w:rsidR="005D5842" w:rsidRDefault="00000000">
      <w:pPr>
        <w:pStyle w:val="Testonotaapidipagina"/>
        <w:jc w:val="both"/>
        <w:rPr>
          <w:sz w:val="18"/>
          <w:szCs w:val="18"/>
        </w:rPr>
      </w:pPr>
      <w:r>
        <w:rPr>
          <w:rStyle w:val="Rimandonotaapidipagina"/>
          <w:sz w:val="18"/>
          <w:szCs w:val="18"/>
        </w:rPr>
        <w:footnoteRef/>
      </w:r>
      <w:r>
        <w:rPr>
          <w:sz w:val="18"/>
          <w:szCs w:val="18"/>
        </w:rPr>
        <w:t xml:space="preserve"> </w:t>
      </w:r>
      <w:r>
        <w:rPr>
          <w:b/>
          <w:bCs/>
          <w:sz w:val="18"/>
          <w:szCs w:val="18"/>
        </w:rPr>
        <w:t>Articolo 100 - Requisiti di ordine speciale</w:t>
      </w:r>
      <w:r>
        <w:rPr>
          <w:sz w:val="18"/>
          <w:szCs w:val="18"/>
        </w:rPr>
        <w:t xml:space="preserve"> “1. Sono requisiti di ordine speciale: a) l'idoneità professionale; b) la capacità economica e finanziaria; c) le capacità tecniche e professionali. 2. Le stazioni appaltanti richiedono  requisiti  di  partecipazione proporzionati e attinenti all'oggetto dell'appalto.  3. Per le procedure di  aggiudicazione  di  appalti  di  servizi  e forniture le stazioni appaltanti richiedono l'iscrizione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In sede di  prima  applicazione  del  codice, l'allegato II.11 è abrogato a decorrere dalla  data  di  entrata  in vigore  di  un   corrispondente   regolamento   adottato   ai   sensi dell'articolo 17, comma 3, della legge 23 agosto 1988,  n.  400,  con decreto del Presidente del Consiglio dei  ministri  su  proposta  del Ministro per gli affari europei, ove  nominato,  che  lo  sostituisce integralmente anche in qualità di allegato al codice.    4. Per le procedure di  aggiudicazione  di  appalti  di  lavori  di importo pari o  superiore  a  150.000  euro  le  stazioni  appaltanti richiedono   che   gli   operatori   economici   siano   qualificati. L'attestazione  di  qualificazione  è  rilasciata  da  organismi  di diritto privato autorizzati dall'ANAC. Il sistema  di  qualificazione per gli esecutori di lavori pubblici,  articolato  in  rapporto  alle categorie di  opere  ed  all'importo  delle  stesse  è  disciplinato dall'allegato  II.12.  Le  categorie  di  opere  si  distinguono   in categorie di opere generali e categorie di  opere  specializzate.  Il possesso di attestazione di qualificazione in categorie e classifiche adeguate ai lavori da appaltare rappresenta condizione  necessaria  e sufficiente per la dimostrazione dei requisiti di  partecipazione  di cui al  presente  articolo  nonché  per  l'esecuzione,  a  qualsiasi titolo, dell'appalto.  In  sede  di  prima  applicazione  del  codice l'allegato II.12 è abrogato a decorrere dalla  data  di  entrata  in vigore  di   un   corrispondente   regolamento   emanato   ai   sensi dell'articolo 17, comma 1, della legge 23 agosto  1988,  n.  400,  su proposta del Ministro delle infrastrutture e dei  trasporti,  sentita l'ANAC,  che  lo  sostituisce  integralmente  anche  in  qualità  di allegato al codice.    5. Per ottenere o rinnovare l'attestazione  di  qualificazione  gli operatori economici devono:    a)  essere  iscritti  nel  registro  della  camera  di   commercio, industria, artigianato e agricoltura o nel registro delle commissioni provinciali  per  l'artigianato  o   presso   i   competenti   ordini professionali  per  un'attività,  prevista  dall'oggetto  sociale  e compresa nella categoria per la quale è richiesta l'attestazione;    b) non essere incorsi nelle cause di esclusione di cui al  Capo  II del presente Titolo nel triennio precedente alla data  della  domanda di rilascio o di rinnovo dell'attestazione di qualificazione;    c) essere in possesso di  certificazioni  di  sistemi  di  qualità conformi alle norme  europee  e  alla  vigente  normativa  nazionale, rilasciate da soggetti accreditati.    6.  L'organismo  di   attestazione   rilascia   l'attestazione   di qualificazione per la categoria di opere generali o specializzate per l'esecuzione delle quali  l'operatore  economico  risulti  essere  in possesso di adeguata capacità economica e finanziaria,  di  adeguata dotazione di attrezzature tecniche e  risorse  umane,  e  dispone  la classificazione per importi in ragione  della  documentata  pregressa esperienza professionale.    7. Fino alla emanazione del regolamento di cui al sesto periodo del comma 4, il periodo di attività documentabile è quello relativo  ai quindici anni antecedenti la data di sottoscrizione del contratto con la società organismo di attestazione (SOA) e  la  qualificazione  ha durata  di  cinque  anni,  con  verifica  entro  il  terzo  anno  del mantenimento dei requisiti.    8. Con il regolamento di cui al sesto periodo del comma 4  sono  in ogni caso disciplinati:    a) la procedura per ottenere l'attestazione di qualificazione e per il suo rinnovo, prevedendo  che  l'operatore  economico  richieda  la conferma dell'attestazione nel caso in cui, nel periodo di  validità dell'attestazione, intervenga una modifica soggettiva;    b)  i  requisiti  per  la  dimostrazione  dell'adeguata   capacità economica e finanziaria  e  per  la  dimostrazione  del  possesso  di adeguate attrezzature tecniche e di adeguato organico;    c) le modalità di qualificazione degli operatori economici di  cui all'articolo 67, comma 1, sulla base del criterio del cumulo  nonché i criteri di imputazione di cui all'articolo 67, comma 6;    d)  le  modalità  di  documentazione  delle  pregresse  esperienze professionali, considerando anche  i  lavori  eseguiti  a  favore  di soggetti privati che siano comprovati da idonea documentazione;    e) le modalità di verifica a campione compiute dagli organismi  di attestazione;    f) il periodo di durata dell'attestazione  di  qualificazione  e  i periodi intermedi di verifica del mantenimento dei requisiti;    g) i casi  di  sospensione  e  di  decadenza  dall'attestazione  di qualificazione già rilasciata, prevedendo sanzioni interdittive  nel caso di presentazione  di  falsa  documentazione  agli  organismi  di attestazione.    9. Relativamente agli organismi di attestazione, con il regolamento di cui al sesto periodo del comma 4 sono in ogni caso disciplinati:    a) i requisiti soggettivi, organizzativi, finanziari e tecnici  per il conseguimento dell'autorizzazione all'esercizio dell'attività  di qualificazione degli operatori economici  nonché  la  procedura  per ottenere l'autorizzazione;    b) le sanzioni  pecuniarie  e  interdittive,  fino  alla  decadenza dell'autorizzazione, per le violazioni commesse  dagli  organismi  di attestazione, anche alle richieste di informazioni  e  di  atti  loro rivolte dall'ANAC nell'esercizio dell'attività di vigilanza, secondo un criterio di proporzionalità e nel rispetto del contraddittorio;    c) le modalità dell'esercizio dell'attività di vigilanza da parte dell'ANAC;    d)  gli  obblighi  di  conservazione  e  di   pubblicazione   della documentazione in capo agli organismi di attestazione;    e) gli obblighi di comunicazione all'ANAC in capo agli organismi di attestazione.    10. Con il regolamento di cui al  sesto  periodo  del  comma  4  è altresì definita la disciplina della qualificazione degli  operatori economici per gli appalti di  servizi  e  forniture.  Il  regolamento contiene, tra l'altro: la definizione delle tipologie per le quali è possibile una classificazione per valore, la competenza a  rilasciare la relativa  attestazione,  la  procedura  e  le  condizioni  per  la relativa richiesta, il regime sanzionatorio.    11. Fino alla data di entrata in vigore del regolamento di  cui  al sesto periodo del comma 4, per  le  procedure  di  aggiudicazione  di appalti di  servizi  e  forniture,  le  stazioni  appaltanti  possono richiedere agli operatori  economici  quale  requisito  di  capacità economica e finanziaria un fatturato globale non superiore al  doppio del valore stimato dell'appalto, maturato nel triennio  precedente  a quello  di  indizione  della  procedura.  In  caso  di  procedure  di aggiudicazione  suddivise  in  pluralità  di  lotti,  salvo  diversa motivata scelta della stazione appaltante, il fatturato è  richiesto per  ciascun  lotto.  Le  stazioni  appaltanti   possono,   altresì, richiedere agli operatori  economici  quale  requisito  di  capacità tecnica e professionale di  aver  eseguito  nel  precedente  triennio dalla data di indizione della procedura di gara contratti analoghi  a quello in affidamento anche a favore di soggetti privati.    12. Salvo quanto previsto dall'articolo 102 o da leggi speciali, le stazioni  appaltanti  richiedono  esclusivamente   i   requisiti   di partecipazione previsti dal presente articolo.    13. Gli organismi  di  cui  al  comma  4  segnalano  immediatamente all'ANAC i casi  in  cui  gli  operatori  economici,  ai  fini  della qualificazione, rendono dichiarazioni false o producono documenti non veritieri. </w:t>
      </w:r>
    </w:p>
  </w:footnote>
  <w:footnote w:id="7">
    <w:p w14:paraId="3FFBFE1F" w14:textId="77777777" w:rsidR="005D5842" w:rsidRDefault="00000000">
      <w:pPr>
        <w:pStyle w:val="Testonotaapidipagina"/>
        <w:jc w:val="lowKashida"/>
      </w:pPr>
      <w:r>
        <w:rPr>
          <w:rStyle w:val="Rimandonotaapidipagina"/>
        </w:rPr>
        <w:footnoteRef/>
      </w:r>
      <w:r>
        <w:t xml:space="preserve"> Agli operatori economici non possono essere richiesti documenti che comprovano il possesso dei requisiti di partecipazione o altra documentazione utile ai fini dell’aggiudicazione, se questi sono presenti nel fascicolo virtuale dell’operatore economico, sono già in possesso della stazione appaltante, per effetto di una precedente aggiudicazione o conclusione di un accordo quadro, ovvero possono essere acquisiti tramite interoperabilità con la piattaforma digitale nazionale dati di cui all’articolo 50-ter del codice di cui al decreto legislativo n. 82 del 2005 e con le banche dati delle pubbliche amministrazioni.</w:t>
      </w:r>
    </w:p>
  </w:footnote>
  <w:footnote w:id="8">
    <w:p w14:paraId="4150BA3D" w14:textId="77777777" w:rsidR="005D5842" w:rsidRDefault="00000000">
      <w:pPr>
        <w:pStyle w:val="Paragrafoelenco"/>
        <w:ind w:left="0"/>
        <w:jc w:val="both"/>
        <w:rPr>
          <w:rFonts w:ascii="Times New Roman" w:hAnsi="Times New Roman"/>
          <w:sz w:val="18"/>
          <w:szCs w:val="18"/>
        </w:rPr>
      </w:pPr>
      <w:r>
        <w:rPr>
          <w:rStyle w:val="Rimandonotaapidipagina"/>
          <w:rFonts w:ascii="Times New Roman" w:hAnsi="Times New Roman"/>
          <w:sz w:val="18"/>
          <w:szCs w:val="18"/>
        </w:rPr>
        <w:footnoteRef/>
      </w:r>
      <w:r>
        <w:rPr>
          <w:rFonts w:ascii="Times New Roman" w:hAnsi="Times New Roman"/>
          <w:sz w:val="18"/>
          <w:szCs w:val="18"/>
        </w:rPr>
        <w:t xml:space="preserve"> </w:t>
      </w:r>
      <w:r>
        <w:rPr>
          <w:rFonts w:ascii="Times New Roman" w:hAnsi="Times New Roman"/>
          <w:b/>
          <w:bCs/>
          <w:sz w:val="18"/>
          <w:szCs w:val="18"/>
        </w:rPr>
        <w:t>Ai sensi dell’art.38 del D.P.R. del 28.12.2000, n.445 la dichiarazione è sottoscritta dall'interessato in presenza del dipendente addetto ovvero sottoscritta e presentata all'ufficio competente, unitamente a copia fotostatica non autenticata di un documento di identità del sottoscrittore.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A192" w14:textId="77777777" w:rsidR="005D5842" w:rsidRDefault="005D584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EF599" w14:textId="77777777" w:rsidR="005D5842" w:rsidRDefault="00000000">
    <w:r>
      <w:rPr>
        <w:noProof/>
      </w:rPr>
      <w:drawing>
        <wp:anchor distT="0" distB="0" distL="114300" distR="114300" simplePos="0" relativeHeight="251658240" behindDoc="1" locked="0" layoutInCell="1" allowOverlap="1" wp14:anchorId="05062DE7" wp14:editId="591BB93A">
          <wp:simplePos x="0" y="0"/>
          <wp:positionH relativeFrom="leftMargin">
            <wp:posOffset>640397</wp:posOffset>
          </wp:positionH>
          <wp:positionV relativeFrom="topMargin">
            <wp:posOffset>388555</wp:posOffset>
          </wp:positionV>
          <wp:extent cx="1882140" cy="548640"/>
          <wp:effectExtent l="0" t="0" r="0" b="0"/>
          <wp:wrapNone/>
          <wp:docPr id="1986442297" name="LogoStruttura"/>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882140" cy="548640"/>
                  </a:xfrm>
                  <a:prstGeom prst="rect">
                    <a:avLst/>
                  </a:prstGeom>
                </pic:spPr>
              </pic:pic>
            </a:graphicData>
          </a:graphic>
        </wp:anchor>
      </w:drawing>
    </w:r>
  </w:p>
  <w:p w14:paraId="1AE0BAB6" w14:textId="77777777" w:rsidR="005D5842" w:rsidRDefault="005D584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4FE87" w14:textId="77777777" w:rsidR="005D5842" w:rsidRDefault="005D584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ECA57D0"/>
    <w:lvl w:ilvl="0">
      <w:start w:val="1"/>
      <w:numFmt w:val="none"/>
      <w:pStyle w:val="Titolo1"/>
      <w:suff w:val="nothing"/>
      <w:lvlText w:val=""/>
      <w:lvlJc w:val="left"/>
      <w:pPr>
        <w:tabs>
          <w:tab w:val="num" w:pos="0"/>
        </w:tabs>
        <w:ind w:left="432" w:hanging="432"/>
      </w:pPr>
      <w:rPr>
        <w:i w:val="0"/>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F84A848"/>
    <w:lvl w:ilvl="0">
      <w:start w:val="1"/>
      <w:numFmt w:val="lowerLetter"/>
      <w:lvlText w:val="%1)"/>
      <w:lvlJc w:val="left"/>
      <w:pPr>
        <w:tabs>
          <w:tab w:val="num" w:pos="502"/>
        </w:tabs>
        <w:ind w:left="502" w:hanging="360"/>
      </w:pPr>
      <w:rPr>
        <w:rFonts w:ascii="Times New Roman" w:eastAsia="Times New Roman" w:hAnsi="Times New Roman" w:cs="Times New Roman" w:hint="default"/>
        <w:i w:val="0"/>
        <w:iCs/>
      </w:rPr>
    </w:lvl>
    <w:lvl w:ilvl="1">
      <w:start w:val="1"/>
      <w:numFmt w:val="lowerLetter"/>
      <w:lvlText w:val="%2."/>
      <w:lvlJc w:val="left"/>
      <w:pPr>
        <w:tabs>
          <w:tab w:val="num" w:pos="1440"/>
        </w:tabs>
        <w:ind w:left="1440" w:hanging="360"/>
      </w:pPr>
      <w:rPr>
        <w:rFonts w:ascii="Courier New" w:hAnsi="Courier New" w:cs="Courier New" w:hint="default"/>
      </w:rPr>
    </w:lvl>
    <w:lvl w:ilvl="2">
      <w:start w:val="1"/>
      <w:numFmt w:val="upperLetter"/>
      <w:lvlText w:val="%3)"/>
      <w:lvlJc w:val="left"/>
      <w:pPr>
        <w:tabs>
          <w:tab w:val="num" w:pos="2385"/>
        </w:tabs>
        <w:ind w:left="2385" w:hanging="405"/>
      </w:pPr>
      <w:rPr>
        <w:rFonts w:ascii="Wingdings" w:hAnsi="Wingdings" w:cs="Wingdings" w:hint="default"/>
      </w:rPr>
    </w:lvl>
    <w:lvl w:ilvl="3">
      <w:start w:val="1"/>
      <w:numFmt w:val="decimal"/>
      <w:lvlText w:val="%4."/>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2224E8"/>
    <w:multiLevelType w:val="multilevel"/>
    <w:tmpl w:val="25FC8A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E12D98"/>
    <w:multiLevelType w:val="multilevel"/>
    <w:tmpl w:val="84D665E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DA0DE8"/>
    <w:multiLevelType w:val="multilevel"/>
    <w:tmpl w:val="3678E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D26997"/>
    <w:multiLevelType w:val="multilevel"/>
    <w:tmpl w:val="42AAC2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867DF3"/>
    <w:multiLevelType w:val="multilevel"/>
    <w:tmpl w:val="21DAFB94"/>
    <w:lvl w:ilvl="0">
      <w:numFmt w:val="bullet"/>
      <w:lvlText w:val="-"/>
      <w:lvlJc w:val="left"/>
      <w:pPr>
        <w:ind w:left="1068" w:hanging="360"/>
      </w:pPr>
      <w:rPr>
        <w:rFonts w:ascii="Times New Roman" w:eastAsia="Calibri"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7" w15:restartNumberingAfterBreak="0">
    <w:nsid w:val="2B9B1BB4"/>
    <w:multiLevelType w:val="multilevel"/>
    <w:tmpl w:val="A6DA74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7419FB"/>
    <w:multiLevelType w:val="multilevel"/>
    <w:tmpl w:val="0CF68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74177F"/>
    <w:multiLevelType w:val="multilevel"/>
    <w:tmpl w:val="A2BC78C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96937CB"/>
    <w:multiLevelType w:val="multilevel"/>
    <w:tmpl w:val="2D847CB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E00E47"/>
    <w:multiLevelType w:val="multilevel"/>
    <w:tmpl w:val="EE76BA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206F52"/>
    <w:multiLevelType w:val="multilevel"/>
    <w:tmpl w:val="1EA029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5616F2"/>
    <w:multiLevelType w:val="multilevel"/>
    <w:tmpl w:val="03FAE04C"/>
    <w:lvl w:ilvl="0">
      <w:start w:val="3"/>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442737F"/>
    <w:multiLevelType w:val="multilevel"/>
    <w:tmpl w:val="05DC3CEE"/>
    <w:lvl w:ilvl="0">
      <w:numFmt w:val="bullet"/>
      <w:lvlText w:val="-"/>
      <w:lvlJc w:val="left"/>
      <w:pPr>
        <w:ind w:left="1440" w:hanging="360"/>
      </w:pPr>
      <w:rPr>
        <w:rFonts w:ascii="Times New Roman" w:eastAsia="Calibri"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692B5CA1"/>
    <w:multiLevelType w:val="multilevel"/>
    <w:tmpl w:val="D6F6435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0B1336"/>
    <w:multiLevelType w:val="multilevel"/>
    <w:tmpl w:val="7CE0209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076390"/>
    <w:multiLevelType w:val="multilevel"/>
    <w:tmpl w:val="EF60F4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84711A3"/>
    <w:multiLevelType w:val="multilevel"/>
    <w:tmpl w:val="9F3C47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AF97883"/>
    <w:multiLevelType w:val="multilevel"/>
    <w:tmpl w:val="21FE92F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B28021C"/>
    <w:multiLevelType w:val="multilevel"/>
    <w:tmpl w:val="1E2E306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B8B6387"/>
    <w:multiLevelType w:val="multilevel"/>
    <w:tmpl w:val="E9E2450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F8973CA"/>
    <w:multiLevelType w:val="multilevel"/>
    <w:tmpl w:val="435A4DC6"/>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0418158">
    <w:abstractNumId w:val="0"/>
  </w:num>
  <w:num w:numId="2" w16cid:durableId="776951032">
    <w:abstractNumId w:val="1"/>
  </w:num>
  <w:num w:numId="3" w16cid:durableId="176776535">
    <w:abstractNumId w:val="2"/>
  </w:num>
  <w:num w:numId="4" w16cid:durableId="470754471">
    <w:abstractNumId w:val="3"/>
  </w:num>
  <w:num w:numId="5" w16cid:durableId="1580017587">
    <w:abstractNumId w:val="4"/>
  </w:num>
  <w:num w:numId="6" w16cid:durableId="302471915">
    <w:abstractNumId w:val="5"/>
  </w:num>
  <w:num w:numId="7" w16cid:durableId="313489735">
    <w:abstractNumId w:val="6"/>
  </w:num>
  <w:num w:numId="8" w16cid:durableId="894972588">
    <w:abstractNumId w:val="7"/>
  </w:num>
  <w:num w:numId="9" w16cid:durableId="906109776">
    <w:abstractNumId w:val="8"/>
  </w:num>
  <w:num w:numId="10" w16cid:durableId="1582594955">
    <w:abstractNumId w:val="9"/>
  </w:num>
  <w:num w:numId="11" w16cid:durableId="1495299377">
    <w:abstractNumId w:val="10"/>
  </w:num>
  <w:num w:numId="12" w16cid:durableId="1288707822">
    <w:abstractNumId w:val="11"/>
  </w:num>
  <w:num w:numId="13" w16cid:durableId="269319001">
    <w:abstractNumId w:val="12"/>
  </w:num>
  <w:num w:numId="14" w16cid:durableId="1156142672">
    <w:abstractNumId w:val="13"/>
  </w:num>
  <w:num w:numId="15" w16cid:durableId="743527511">
    <w:abstractNumId w:val="14"/>
  </w:num>
  <w:num w:numId="16" w16cid:durableId="1114833645">
    <w:abstractNumId w:val="15"/>
  </w:num>
  <w:num w:numId="17" w16cid:durableId="263264939">
    <w:abstractNumId w:val="16"/>
  </w:num>
  <w:num w:numId="18" w16cid:durableId="927543337">
    <w:abstractNumId w:val="17"/>
  </w:num>
  <w:num w:numId="19" w16cid:durableId="1943759608">
    <w:abstractNumId w:val="18"/>
  </w:num>
  <w:num w:numId="20" w16cid:durableId="1645743710">
    <w:abstractNumId w:val="19"/>
  </w:num>
  <w:num w:numId="21" w16cid:durableId="165486634">
    <w:abstractNumId w:val="20"/>
  </w:num>
  <w:num w:numId="22" w16cid:durableId="1697536744">
    <w:abstractNumId w:val="21"/>
  </w:num>
  <w:num w:numId="23" w16cid:durableId="16330938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842"/>
    <w:rsid w:val="002D7EEA"/>
    <w:rsid w:val="005D5842"/>
    <w:rsid w:val="00E84409"/>
    <w:rsid w:val="00ED7F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908118"/>
  <w15:docId w15:val="{4BBA93B4-868C-453C-9146-CAD011C3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qFormat/>
    <w:pPr>
      <w:keepNext/>
      <w:numPr>
        <w:numId w:val="1"/>
      </w:numPr>
      <w:outlineLvl w:val="0"/>
    </w:pPr>
    <w:rPr>
      <w:b/>
      <w:bCs/>
      <w:lang w:val="de-DE"/>
    </w:rPr>
  </w:style>
  <w:style w:type="paragraph" w:styleId="Titolo2">
    <w:name w:val="heading 2"/>
    <w:basedOn w:val="Normale"/>
    <w:next w:val="Normale"/>
    <w:qFormat/>
    <w:pPr>
      <w:keepNext/>
      <w:numPr>
        <w:ilvl w:val="1"/>
        <w:numId w:val="1"/>
      </w:numPr>
      <w:autoSpaceDE w:val="0"/>
      <w:jc w:val="center"/>
      <w:outlineLvl w:val="1"/>
    </w:pPr>
    <w:rPr>
      <w:b/>
      <w:bCs/>
      <w:szCs w:val="28"/>
    </w:rPr>
  </w:style>
  <w:style w:type="paragraph" w:styleId="Titolo3">
    <w:name w:val="heading 3"/>
    <w:basedOn w:val="Normale"/>
    <w:next w:val="Normale"/>
    <w:qFormat/>
    <w:pPr>
      <w:keepNext/>
      <w:numPr>
        <w:ilvl w:val="2"/>
        <w:numId w:val="1"/>
      </w:numPr>
      <w:spacing w:before="240" w:after="60"/>
      <w:outlineLvl w:val="2"/>
    </w:pPr>
    <w:rPr>
      <w:rFonts w:ascii="Cambria" w:hAnsi="Cambria"/>
      <w:b/>
      <w:bCs/>
      <w:sz w:val="26"/>
      <w:szCs w:val="26"/>
    </w:rPr>
  </w:style>
  <w:style w:type="paragraph" w:styleId="Titolo4">
    <w:name w:val="heading 4"/>
    <w:basedOn w:val="Normale"/>
    <w:next w:val="Normale"/>
    <w:qFormat/>
    <w:pPr>
      <w:keepNext/>
      <w:numPr>
        <w:ilvl w:val="3"/>
        <w:numId w:val="1"/>
      </w:numPr>
      <w:spacing w:before="240" w:after="60"/>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WW8Num1z0">
    <w:name w:val="WW8Num1z0"/>
    <w:basedOn w:val="Carpredefinitoparagrafo"/>
    <w:rPr>
      <w:i w:val="0"/>
    </w:rPr>
  </w:style>
  <w:style w:type="character" w:customStyle="1" w:styleId="WW8Num1z1">
    <w:name w:val="WW8Num1z1"/>
    <w:basedOn w:val="Carpredefinitoparagrafo"/>
  </w:style>
  <w:style w:type="character" w:customStyle="1" w:styleId="WW8Num1z2">
    <w:name w:val="WW8Num1z2"/>
    <w:basedOn w:val="Carpredefinitoparagrafo"/>
  </w:style>
  <w:style w:type="character" w:customStyle="1" w:styleId="WW8Num1z3">
    <w:name w:val="WW8Num1z3"/>
    <w:basedOn w:val="Carpredefinitoparagrafo"/>
  </w:style>
  <w:style w:type="character" w:customStyle="1" w:styleId="WW8Num1z4">
    <w:name w:val="WW8Num1z4"/>
    <w:basedOn w:val="Carpredefinitoparagrafo"/>
  </w:style>
  <w:style w:type="character" w:customStyle="1" w:styleId="WW8Num1z5">
    <w:name w:val="WW8Num1z5"/>
    <w:basedOn w:val="Carpredefinitoparagrafo"/>
  </w:style>
  <w:style w:type="character" w:customStyle="1" w:styleId="WW8Num1z6">
    <w:name w:val="WW8Num1z6"/>
    <w:basedOn w:val="Carpredefinitoparagrafo"/>
  </w:style>
  <w:style w:type="character" w:customStyle="1" w:styleId="WW8Num1z7">
    <w:name w:val="WW8Num1z7"/>
    <w:basedOn w:val="Carpredefinitoparagrafo"/>
  </w:style>
  <w:style w:type="character" w:customStyle="1" w:styleId="WW8Num1z8">
    <w:name w:val="WW8Num1z8"/>
    <w:basedOn w:val="Carpredefinitoparagrafo"/>
  </w:style>
  <w:style w:type="character" w:customStyle="1" w:styleId="WW8Num2z0">
    <w:name w:val="WW8Num2z0"/>
    <w:basedOn w:val="Carpredefinitoparagrafo"/>
    <w:rPr>
      <w:rFonts w:ascii="Times New Roman" w:eastAsia="Times New Roman" w:hAnsi="Times New Roman" w:cs="Times New Roman" w:hint="default"/>
      <w:i/>
    </w:rPr>
  </w:style>
  <w:style w:type="character" w:customStyle="1" w:styleId="WW8Num2z1">
    <w:name w:val="WW8Num2z1"/>
    <w:basedOn w:val="Carpredefinitoparagrafo"/>
    <w:rPr>
      <w:rFonts w:ascii="Courier New" w:hAnsi="Courier New" w:cs="Courier New" w:hint="default"/>
    </w:rPr>
  </w:style>
  <w:style w:type="character" w:customStyle="1" w:styleId="WW8Num2z2">
    <w:name w:val="WW8Num2z2"/>
    <w:basedOn w:val="Carpredefinitoparagrafo"/>
    <w:rPr>
      <w:rFonts w:ascii="Wingdings" w:hAnsi="Wingdings" w:cs="Wingdings" w:hint="default"/>
    </w:rPr>
  </w:style>
  <w:style w:type="character" w:customStyle="1" w:styleId="WW8Num2z3">
    <w:name w:val="WW8Num2z3"/>
    <w:basedOn w:val="Carpredefinitoparagrafo"/>
    <w:rPr>
      <w:rFonts w:ascii="Symbol" w:hAnsi="Symbol" w:cs="Symbol" w:hint="default"/>
    </w:rPr>
  </w:style>
  <w:style w:type="character" w:customStyle="1" w:styleId="WW8Num2z4">
    <w:name w:val="WW8Num2z4"/>
    <w:basedOn w:val="Carpredefinitoparagrafo"/>
  </w:style>
  <w:style w:type="character" w:customStyle="1" w:styleId="WW8Num2z5">
    <w:name w:val="WW8Num2z5"/>
    <w:basedOn w:val="Carpredefinitoparagrafo"/>
  </w:style>
  <w:style w:type="character" w:customStyle="1" w:styleId="WW8Num2z6">
    <w:name w:val="WW8Num2z6"/>
    <w:basedOn w:val="Carpredefinitoparagrafo"/>
  </w:style>
  <w:style w:type="character" w:customStyle="1" w:styleId="WW8Num2z7">
    <w:name w:val="WW8Num2z7"/>
    <w:basedOn w:val="Carpredefinitoparagrafo"/>
  </w:style>
  <w:style w:type="character" w:customStyle="1" w:styleId="WW8Num2z8">
    <w:name w:val="WW8Num2z8"/>
    <w:basedOn w:val="Carpredefinitoparagrafo"/>
  </w:style>
  <w:style w:type="character" w:customStyle="1" w:styleId="WW8Num3z0">
    <w:name w:val="WW8Num3z0"/>
    <w:basedOn w:val="Carpredefinitoparagrafo"/>
    <w:rPr>
      <w:rFonts w:ascii="Times New Roman" w:hAnsi="Times New Roman" w:cs="Times New Roman" w:hint="default"/>
      <w:b/>
      <w:i w:val="0"/>
      <w:sz w:val="28"/>
      <w:szCs w:val="24"/>
    </w:rPr>
  </w:style>
  <w:style w:type="character" w:customStyle="1" w:styleId="WW8Num4z0">
    <w:name w:val="WW8Num4z0"/>
    <w:basedOn w:val="Carpredefinitoparagrafo"/>
    <w:rPr>
      <w:rFonts w:ascii="Symbol" w:hAnsi="Symbol" w:cs="Times New Roman" w:hint="default"/>
      <w:caps w:val="0"/>
      <w:smallCaps w:val="0"/>
      <w:strike w:val="0"/>
      <w:dstrike w:val="0"/>
      <w:vanish w:val="0"/>
      <w:color w:val="000000"/>
      <w:position w:val="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0">
    <w:name w:val="WW8Num5z0"/>
    <w:basedOn w:val="Carpredefinitoparagrafo"/>
    <w:rPr>
      <w:rFonts w:ascii="Times New Roman" w:hAnsi="Times New Roman" w:cs="Times New Roman" w:hint="default"/>
    </w:rPr>
  </w:style>
  <w:style w:type="character" w:customStyle="1" w:styleId="WW8Num6z0">
    <w:name w:val="WW8Num6z0"/>
    <w:basedOn w:val="Carpredefinitoparagrafo"/>
    <w:rPr>
      <w:rFonts w:ascii="Times New Roman" w:eastAsia="Times New Roman" w:hAnsi="Times New Roman" w:cs="Times New Roman" w:hint="default"/>
    </w:rPr>
  </w:style>
  <w:style w:type="character" w:customStyle="1" w:styleId="WW8Num3z1">
    <w:name w:val="WW8Num3z1"/>
    <w:basedOn w:val="Carpredefinitoparagrafo"/>
  </w:style>
  <w:style w:type="character" w:customStyle="1" w:styleId="WW8Num3z2">
    <w:name w:val="WW8Num3z2"/>
    <w:basedOn w:val="Carpredefinitoparagrafo"/>
  </w:style>
  <w:style w:type="character" w:customStyle="1" w:styleId="WW8Num3z3">
    <w:name w:val="WW8Num3z3"/>
    <w:basedOn w:val="Carpredefinitoparagrafo"/>
  </w:style>
  <w:style w:type="character" w:customStyle="1" w:styleId="WW8Num3z4">
    <w:name w:val="WW8Num3z4"/>
    <w:basedOn w:val="Carpredefinitoparagrafo"/>
  </w:style>
  <w:style w:type="character" w:customStyle="1" w:styleId="WW8Num3z5">
    <w:name w:val="WW8Num3z5"/>
    <w:basedOn w:val="Carpredefinitoparagrafo"/>
  </w:style>
  <w:style w:type="character" w:customStyle="1" w:styleId="WW8Num3z6">
    <w:name w:val="WW8Num3z6"/>
    <w:basedOn w:val="Carpredefinitoparagrafo"/>
  </w:style>
  <w:style w:type="character" w:customStyle="1" w:styleId="WW8Num3z7">
    <w:name w:val="WW8Num3z7"/>
    <w:basedOn w:val="Carpredefinitoparagrafo"/>
  </w:style>
  <w:style w:type="character" w:customStyle="1" w:styleId="WW8Num3z8">
    <w:name w:val="WW8Num3z8"/>
    <w:basedOn w:val="Carpredefinitoparagrafo"/>
  </w:style>
  <w:style w:type="character" w:customStyle="1" w:styleId="WW8Num4z1">
    <w:name w:val="WW8Num4z1"/>
    <w:basedOn w:val="Carpredefinitoparagrafo"/>
    <w:rPr>
      <w:rFonts w:ascii="Wingdings" w:hAnsi="Wingdings" w:cs="Times New Roman" w:hint="default"/>
    </w:rPr>
  </w:style>
  <w:style w:type="character" w:customStyle="1" w:styleId="WW8Num4z2">
    <w:name w:val="WW8Num4z2"/>
    <w:basedOn w:val="Carpredefinitoparagrafo"/>
    <w:rPr>
      <w:rFonts w:ascii="Wingdings" w:hAnsi="Wingdings" w:cs="Wingdings" w:hint="default"/>
    </w:rPr>
  </w:style>
  <w:style w:type="character" w:customStyle="1" w:styleId="WW8Num4z3">
    <w:name w:val="WW8Num4z3"/>
    <w:basedOn w:val="Carpredefinitoparagrafo"/>
    <w:rPr>
      <w:rFonts w:ascii="Symbol" w:hAnsi="Symbol" w:cs="Symbol" w:hint="default"/>
    </w:rPr>
  </w:style>
  <w:style w:type="character" w:customStyle="1" w:styleId="WW8Num4z4">
    <w:name w:val="WW8Num4z4"/>
    <w:basedOn w:val="Carpredefinitoparagrafo"/>
    <w:rPr>
      <w:rFonts w:ascii="Courier New" w:hAnsi="Courier New" w:cs="Courier New" w:hint="default"/>
    </w:rPr>
  </w:style>
  <w:style w:type="character" w:customStyle="1" w:styleId="WW8Num5z1">
    <w:name w:val="WW8Num5z1"/>
    <w:basedOn w:val="Carpredefinitoparagrafo"/>
    <w:rPr>
      <w:rFonts w:ascii="Courier New" w:hAnsi="Courier New" w:cs="Courier New" w:hint="default"/>
    </w:rPr>
  </w:style>
  <w:style w:type="character" w:customStyle="1" w:styleId="WW8Num5z2">
    <w:name w:val="WW8Num5z2"/>
    <w:basedOn w:val="Carpredefinitoparagrafo"/>
    <w:rPr>
      <w:rFonts w:ascii="Wingdings" w:hAnsi="Wingdings" w:cs="Wingdings" w:hint="default"/>
    </w:rPr>
  </w:style>
  <w:style w:type="character" w:customStyle="1" w:styleId="WW8Num5z3">
    <w:name w:val="WW8Num5z3"/>
    <w:basedOn w:val="Carpredefinitoparagrafo"/>
    <w:rPr>
      <w:rFonts w:ascii="Symbol" w:hAnsi="Symbol" w:cs="Symbol" w:hint="default"/>
    </w:rPr>
  </w:style>
  <w:style w:type="character" w:customStyle="1" w:styleId="WW8Num6z1">
    <w:name w:val="WW8Num6z1"/>
    <w:basedOn w:val="Carpredefinitoparagrafo"/>
    <w:rPr>
      <w:rFonts w:ascii="Courier New" w:hAnsi="Courier New" w:cs="Courier New" w:hint="default"/>
    </w:rPr>
  </w:style>
  <w:style w:type="character" w:customStyle="1" w:styleId="WW8Num6z2">
    <w:name w:val="WW8Num6z2"/>
    <w:basedOn w:val="Carpredefinitoparagrafo"/>
    <w:rPr>
      <w:rFonts w:ascii="Wingdings" w:hAnsi="Wingdings" w:cs="Wingdings" w:hint="default"/>
    </w:rPr>
  </w:style>
  <w:style w:type="character" w:customStyle="1" w:styleId="WW8Num6z3">
    <w:name w:val="WW8Num6z3"/>
    <w:basedOn w:val="Carpredefinitoparagrafo"/>
    <w:rPr>
      <w:rFonts w:ascii="Symbol" w:hAnsi="Symbol" w:cs="Symbol" w:hint="default"/>
    </w:rPr>
  </w:style>
  <w:style w:type="character" w:customStyle="1" w:styleId="WW8Num7z0">
    <w:name w:val="WW8Num7z0"/>
    <w:basedOn w:val="Carpredefinitoparagrafo"/>
    <w:rPr>
      <w:rFonts w:ascii="Times New Roman" w:hAnsi="Times New Roman" w:cs="Times New Roman" w:hint="default"/>
      <w:sz w:val="22"/>
      <w:szCs w:val="22"/>
    </w:rPr>
  </w:style>
  <w:style w:type="character" w:customStyle="1" w:styleId="WW8Num7z1">
    <w:name w:val="WW8Num7z1"/>
    <w:basedOn w:val="Carpredefinitoparagrafo"/>
    <w:rPr>
      <w:rFonts w:ascii="Courier New" w:hAnsi="Courier New" w:cs="Courier New" w:hint="default"/>
    </w:rPr>
  </w:style>
  <w:style w:type="character" w:customStyle="1" w:styleId="WW8Num7z2">
    <w:name w:val="WW8Num7z2"/>
    <w:basedOn w:val="Carpredefinitoparagrafo"/>
    <w:rPr>
      <w:rFonts w:ascii="Wingdings" w:hAnsi="Wingdings" w:cs="Wingdings" w:hint="default"/>
    </w:rPr>
  </w:style>
  <w:style w:type="character" w:customStyle="1" w:styleId="WW8Num7z3">
    <w:name w:val="WW8Num7z3"/>
    <w:basedOn w:val="Carpredefinitoparagrafo"/>
    <w:rPr>
      <w:rFonts w:ascii="Symbol" w:hAnsi="Symbol" w:cs="Symbol" w:hint="default"/>
    </w:rPr>
  </w:style>
  <w:style w:type="character" w:customStyle="1" w:styleId="WW8Num8z0">
    <w:name w:val="WW8Num8z0"/>
    <w:basedOn w:val="Carpredefinitoparagrafo"/>
    <w:rPr>
      <w:rFonts w:hint="default"/>
    </w:rPr>
  </w:style>
  <w:style w:type="character" w:customStyle="1" w:styleId="WW8Num9z0">
    <w:name w:val="WW8Num9z0"/>
    <w:basedOn w:val="Carpredefinitoparagrafo"/>
    <w:rPr>
      <w:rFonts w:ascii="Wingdings" w:hAnsi="Wingdings" w:cs="Wingdings" w:hint="default"/>
      <w:sz w:val="16"/>
    </w:rPr>
  </w:style>
  <w:style w:type="character" w:customStyle="1" w:styleId="WW8Num9z1">
    <w:name w:val="WW8Num9z1"/>
    <w:basedOn w:val="Carpredefinitoparagrafo"/>
    <w:rPr>
      <w:rFonts w:ascii="Courier New" w:hAnsi="Courier New" w:cs="Courier New" w:hint="default"/>
    </w:rPr>
  </w:style>
  <w:style w:type="character" w:customStyle="1" w:styleId="WW8Num9z2">
    <w:name w:val="WW8Num9z2"/>
    <w:basedOn w:val="Carpredefinitoparagrafo"/>
    <w:rPr>
      <w:rFonts w:ascii="Wingdings" w:hAnsi="Wingdings" w:cs="Wingdings" w:hint="default"/>
    </w:rPr>
  </w:style>
  <w:style w:type="character" w:customStyle="1" w:styleId="WW8Num9z3">
    <w:name w:val="WW8Num9z3"/>
    <w:basedOn w:val="Carpredefinitoparagrafo"/>
    <w:rPr>
      <w:rFonts w:ascii="Symbol" w:hAnsi="Symbol" w:cs="Symbol" w:hint="default"/>
    </w:rPr>
  </w:style>
  <w:style w:type="character" w:customStyle="1" w:styleId="WW8Num10z0">
    <w:name w:val="WW8Num10z0"/>
    <w:basedOn w:val="Carpredefinitoparagrafo"/>
    <w:rPr>
      <w:rFonts w:ascii="Times New Roman" w:hAnsi="Times New Roman" w:cs="Times New Roman" w:hint="default"/>
      <w:b/>
      <w:bCs/>
      <w:sz w:val="28"/>
      <w:szCs w:val="24"/>
    </w:rPr>
  </w:style>
  <w:style w:type="character" w:customStyle="1" w:styleId="WW8Num10z1">
    <w:name w:val="WW8Num10z1"/>
    <w:basedOn w:val="Carpredefinitoparagrafo"/>
    <w:rPr>
      <w:rFonts w:hint="default"/>
      <w:b w:val="0"/>
    </w:rPr>
  </w:style>
  <w:style w:type="character" w:customStyle="1" w:styleId="WW8Num10z2">
    <w:name w:val="WW8Num10z2"/>
    <w:basedOn w:val="Carpredefinitoparagrafo"/>
    <w:rPr>
      <w:rFonts w:ascii="Symbol" w:hAnsi="Symbol" w:cs="Symbol" w:hint="default"/>
    </w:rPr>
  </w:style>
  <w:style w:type="character" w:customStyle="1" w:styleId="WW8Num10z3">
    <w:name w:val="WW8Num10z3"/>
    <w:basedOn w:val="Carpredefinitoparagrafo"/>
  </w:style>
  <w:style w:type="character" w:customStyle="1" w:styleId="WW8Num10z4">
    <w:name w:val="WW8Num10z4"/>
    <w:basedOn w:val="Carpredefinitoparagrafo"/>
  </w:style>
  <w:style w:type="character" w:customStyle="1" w:styleId="WW8Num10z5">
    <w:name w:val="WW8Num10z5"/>
    <w:basedOn w:val="Carpredefinitoparagrafo"/>
  </w:style>
  <w:style w:type="character" w:customStyle="1" w:styleId="WW8Num10z6">
    <w:name w:val="WW8Num10z6"/>
    <w:basedOn w:val="Carpredefinitoparagrafo"/>
  </w:style>
  <w:style w:type="character" w:customStyle="1" w:styleId="WW8Num10z7">
    <w:name w:val="WW8Num10z7"/>
    <w:basedOn w:val="Carpredefinitoparagrafo"/>
  </w:style>
  <w:style w:type="character" w:customStyle="1" w:styleId="WW8Num10z8">
    <w:name w:val="WW8Num10z8"/>
    <w:basedOn w:val="Carpredefinitoparagrafo"/>
  </w:style>
  <w:style w:type="character" w:customStyle="1" w:styleId="WW8Num11z0">
    <w:name w:val="WW8Num11z0"/>
    <w:basedOn w:val="Carpredefinitoparagrafo"/>
    <w:rPr>
      <w:rFonts w:ascii="Wingdings" w:hAnsi="Wingdings" w:cs="Wingdings" w:hint="default"/>
    </w:rPr>
  </w:style>
  <w:style w:type="character" w:customStyle="1" w:styleId="WW8Num11z1">
    <w:name w:val="WW8Num11z1"/>
    <w:basedOn w:val="Carpredefinitoparagrafo"/>
    <w:rPr>
      <w:rFonts w:ascii="Courier New" w:hAnsi="Courier New" w:cs="Courier New" w:hint="default"/>
    </w:rPr>
  </w:style>
  <w:style w:type="character" w:customStyle="1" w:styleId="WW8Num11z3">
    <w:name w:val="WW8Num11z3"/>
    <w:basedOn w:val="Carpredefinitoparagrafo"/>
    <w:rPr>
      <w:rFonts w:ascii="Symbol" w:hAnsi="Symbol" w:cs="Symbol" w:hint="default"/>
    </w:rPr>
  </w:style>
  <w:style w:type="character" w:customStyle="1" w:styleId="WW8Num12z0">
    <w:name w:val="WW8Num12z0"/>
    <w:basedOn w:val="Carpredefinitoparagrafo"/>
    <w:rPr>
      <w:rFonts w:ascii="Wingdings" w:hAnsi="Wingdings" w:cs="Wingdings" w:hint="default"/>
    </w:rPr>
  </w:style>
  <w:style w:type="character" w:customStyle="1" w:styleId="WW8Num12z1">
    <w:name w:val="WW8Num12z1"/>
    <w:basedOn w:val="Carpredefinitoparagrafo"/>
    <w:rPr>
      <w:rFonts w:ascii="Courier New" w:hAnsi="Courier New" w:cs="Courier New" w:hint="default"/>
    </w:rPr>
  </w:style>
  <w:style w:type="character" w:customStyle="1" w:styleId="WW8Num12z3">
    <w:name w:val="WW8Num12z3"/>
    <w:basedOn w:val="Carpredefinitoparagrafo"/>
    <w:rPr>
      <w:rFonts w:ascii="Symbol" w:hAnsi="Symbol" w:cs="Symbol" w:hint="default"/>
    </w:rPr>
  </w:style>
  <w:style w:type="character" w:customStyle="1" w:styleId="WW8Num13z0">
    <w:name w:val="WW8Num13z0"/>
    <w:basedOn w:val="Carpredefinitoparagrafo"/>
    <w:rPr>
      <w:rFonts w:ascii="Times New Roman" w:hAnsi="Times New Roman" w:cs="Times New Roman" w:hint="default"/>
    </w:rPr>
  </w:style>
  <w:style w:type="character" w:customStyle="1" w:styleId="WW8Num13z1">
    <w:name w:val="WW8Num13z1"/>
    <w:basedOn w:val="Carpredefinitoparagrafo"/>
    <w:rPr>
      <w:rFonts w:ascii="Courier New" w:hAnsi="Courier New" w:cs="Courier New" w:hint="default"/>
    </w:rPr>
  </w:style>
  <w:style w:type="character" w:customStyle="1" w:styleId="WW8Num13z2">
    <w:name w:val="WW8Num13z2"/>
    <w:basedOn w:val="Carpredefinitoparagrafo"/>
    <w:rPr>
      <w:rFonts w:ascii="Wingdings" w:hAnsi="Wingdings" w:cs="Wingdings" w:hint="default"/>
    </w:rPr>
  </w:style>
  <w:style w:type="character" w:customStyle="1" w:styleId="WW8Num13z3">
    <w:name w:val="WW8Num13z3"/>
    <w:basedOn w:val="Carpredefinitoparagrafo"/>
    <w:rPr>
      <w:rFonts w:ascii="Symbol" w:hAnsi="Symbol" w:cs="Symbol" w:hint="default"/>
    </w:rPr>
  </w:style>
  <w:style w:type="character" w:customStyle="1" w:styleId="WW8Num14z0">
    <w:name w:val="WW8Num14z0"/>
    <w:basedOn w:val="Carpredefinitoparagrafo"/>
    <w:rPr>
      <w:rFonts w:ascii="Symbol" w:hAnsi="Symbol" w:cs="Symbol" w:hint="default"/>
    </w:rPr>
  </w:style>
  <w:style w:type="character" w:customStyle="1" w:styleId="WW8Num14z1">
    <w:name w:val="WW8Num14z1"/>
    <w:basedOn w:val="Carpredefinitoparagrafo"/>
    <w:rPr>
      <w:rFonts w:ascii="Courier New" w:hAnsi="Courier New" w:cs="Courier New" w:hint="default"/>
    </w:rPr>
  </w:style>
  <w:style w:type="character" w:customStyle="1" w:styleId="WW8Num14z5">
    <w:name w:val="WW8Num14z5"/>
    <w:basedOn w:val="Carpredefinitoparagrafo"/>
    <w:rPr>
      <w:rFonts w:ascii="Wingdings" w:hAnsi="Wingdings" w:cs="Wingdings" w:hint="default"/>
    </w:rPr>
  </w:style>
  <w:style w:type="character" w:customStyle="1" w:styleId="WW8Num15z0">
    <w:name w:val="WW8Num15z0"/>
    <w:basedOn w:val="Carpredefinitoparagrafo"/>
    <w:rPr>
      <w:rFonts w:hint="default"/>
    </w:rPr>
  </w:style>
  <w:style w:type="character" w:customStyle="1" w:styleId="WW8Num15z1">
    <w:name w:val="WW8Num15z1"/>
    <w:basedOn w:val="Carpredefinitoparagrafo"/>
    <w:rPr>
      <w:rFonts w:ascii="Courier New" w:hAnsi="Courier New" w:cs="Courier New" w:hint="default"/>
    </w:rPr>
  </w:style>
  <w:style w:type="character" w:customStyle="1" w:styleId="WW8Num15z2">
    <w:name w:val="WW8Num15z2"/>
    <w:basedOn w:val="Carpredefinitoparagrafo"/>
    <w:rPr>
      <w:rFonts w:ascii="ComicSansMS" w:eastAsia="Calibri" w:hAnsi="ComicSansMS" w:cs="ComicSansMS" w:hint="default"/>
    </w:rPr>
  </w:style>
  <w:style w:type="character" w:customStyle="1" w:styleId="WW8Num15z3">
    <w:name w:val="WW8Num15z3"/>
    <w:basedOn w:val="Carpredefinitoparagrafo"/>
  </w:style>
  <w:style w:type="character" w:customStyle="1" w:styleId="WW8Num15z4">
    <w:name w:val="WW8Num15z4"/>
    <w:basedOn w:val="Carpredefinitoparagrafo"/>
  </w:style>
  <w:style w:type="character" w:customStyle="1" w:styleId="WW8Num15z5">
    <w:name w:val="WW8Num15z5"/>
    <w:basedOn w:val="Carpredefinitoparagrafo"/>
  </w:style>
  <w:style w:type="character" w:customStyle="1" w:styleId="WW8Num15z6">
    <w:name w:val="WW8Num15z6"/>
    <w:basedOn w:val="Carpredefinitoparagrafo"/>
  </w:style>
  <w:style w:type="character" w:customStyle="1" w:styleId="WW8Num15z7">
    <w:name w:val="WW8Num15z7"/>
    <w:basedOn w:val="Carpredefinitoparagrafo"/>
  </w:style>
  <w:style w:type="character" w:customStyle="1" w:styleId="WW8Num15z8">
    <w:name w:val="WW8Num15z8"/>
    <w:basedOn w:val="Carpredefinitoparagrafo"/>
  </w:style>
  <w:style w:type="character" w:customStyle="1" w:styleId="WW8Num16z0">
    <w:name w:val="WW8Num16z0"/>
    <w:basedOn w:val="Carpredefinitoparagrafo"/>
    <w:rPr>
      <w:rFonts w:ascii="Times New Roman" w:hAnsi="Times New Roman" w:cs="Times New Roman" w:hint="default"/>
    </w:rPr>
  </w:style>
  <w:style w:type="character" w:customStyle="1" w:styleId="WW8Num16z1">
    <w:name w:val="WW8Num16z1"/>
    <w:basedOn w:val="Carpredefinitoparagrafo"/>
  </w:style>
  <w:style w:type="character" w:customStyle="1" w:styleId="WW8Num16z2">
    <w:name w:val="WW8Num16z2"/>
    <w:basedOn w:val="Carpredefinitoparagrafo"/>
    <w:rPr>
      <w:rFonts w:hint="default"/>
      <w:b/>
    </w:rPr>
  </w:style>
  <w:style w:type="character" w:customStyle="1" w:styleId="WW8Num16z3">
    <w:name w:val="WW8Num16z3"/>
    <w:basedOn w:val="Carpredefinitoparagrafo"/>
  </w:style>
  <w:style w:type="character" w:customStyle="1" w:styleId="WW8Num16z4">
    <w:name w:val="WW8Num16z4"/>
    <w:basedOn w:val="Carpredefinitoparagrafo"/>
  </w:style>
  <w:style w:type="character" w:customStyle="1" w:styleId="WW8Num16z5">
    <w:name w:val="WW8Num16z5"/>
    <w:basedOn w:val="Carpredefinitoparagrafo"/>
  </w:style>
  <w:style w:type="character" w:customStyle="1" w:styleId="WW8Num16z6">
    <w:name w:val="WW8Num16z6"/>
    <w:basedOn w:val="Carpredefinitoparagrafo"/>
  </w:style>
  <w:style w:type="character" w:customStyle="1" w:styleId="WW8Num16z7">
    <w:name w:val="WW8Num16z7"/>
    <w:basedOn w:val="Carpredefinitoparagrafo"/>
  </w:style>
  <w:style w:type="character" w:customStyle="1" w:styleId="WW8Num16z8">
    <w:name w:val="WW8Num16z8"/>
    <w:basedOn w:val="Carpredefinitoparagrafo"/>
  </w:style>
  <w:style w:type="character" w:customStyle="1" w:styleId="WW8Num17z0">
    <w:name w:val="WW8Num17z0"/>
    <w:basedOn w:val="Carpredefinitoparagrafo"/>
    <w:rPr>
      <w:rFonts w:ascii="Symbol" w:hAnsi="Symbol" w:cs="Times New Roman" w:hint="default"/>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1">
    <w:name w:val="WW8Num17z1"/>
    <w:basedOn w:val="Carpredefinitoparagrafo"/>
    <w:rPr>
      <w:rFonts w:ascii="Courier New" w:hAnsi="Courier New" w:cs="Courier New" w:hint="default"/>
    </w:rPr>
  </w:style>
  <w:style w:type="character" w:customStyle="1" w:styleId="WW8Num17z2">
    <w:name w:val="WW8Num17z2"/>
    <w:basedOn w:val="Carpredefinitoparagrafo"/>
    <w:rPr>
      <w:rFonts w:ascii="Wingdings" w:hAnsi="Wingdings" w:cs="Wingdings" w:hint="default"/>
    </w:rPr>
  </w:style>
  <w:style w:type="character" w:customStyle="1" w:styleId="WW8Num17z3">
    <w:name w:val="WW8Num17z3"/>
    <w:basedOn w:val="Carpredefinitoparagrafo"/>
    <w:rPr>
      <w:rFonts w:ascii="Symbol" w:hAnsi="Symbol" w:cs="Symbol" w:hint="default"/>
    </w:rPr>
  </w:style>
  <w:style w:type="character" w:customStyle="1" w:styleId="WW8Num18z0">
    <w:name w:val="WW8Num18z0"/>
    <w:basedOn w:val="Carpredefinitoparagrafo"/>
    <w:rPr>
      <w:rFonts w:hint="default"/>
    </w:rPr>
  </w:style>
  <w:style w:type="character" w:customStyle="1" w:styleId="WW8Num18z1">
    <w:name w:val="WW8Num18z1"/>
    <w:basedOn w:val="Carpredefinitoparagrafo"/>
  </w:style>
  <w:style w:type="character" w:customStyle="1" w:styleId="WW8Num18z2">
    <w:name w:val="WW8Num18z2"/>
    <w:basedOn w:val="Carpredefinitoparagrafo"/>
  </w:style>
  <w:style w:type="character" w:customStyle="1" w:styleId="WW8Num18z3">
    <w:name w:val="WW8Num18z3"/>
    <w:basedOn w:val="Carpredefinitoparagrafo"/>
  </w:style>
  <w:style w:type="character" w:customStyle="1" w:styleId="WW8Num18z4">
    <w:name w:val="WW8Num18z4"/>
    <w:basedOn w:val="Carpredefinitoparagrafo"/>
  </w:style>
  <w:style w:type="character" w:customStyle="1" w:styleId="WW8Num18z5">
    <w:name w:val="WW8Num18z5"/>
    <w:basedOn w:val="Carpredefinitoparagrafo"/>
  </w:style>
  <w:style w:type="character" w:customStyle="1" w:styleId="WW8Num18z6">
    <w:name w:val="WW8Num18z6"/>
    <w:basedOn w:val="Carpredefinitoparagrafo"/>
  </w:style>
  <w:style w:type="character" w:customStyle="1" w:styleId="WW8Num18z7">
    <w:name w:val="WW8Num18z7"/>
    <w:basedOn w:val="Carpredefinitoparagrafo"/>
  </w:style>
  <w:style w:type="character" w:customStyle="1" w:styleId="WW8Num18z8">
    <w:name w:val="WW8Num18z8"/>
    <w:basedOn w:val="Carpredefinitoparagrafo"/>
  </w:style>
  <w:style w:type="character" w:customStyle="1" w:styleId="WW8Num19z0">
    <w:name w:val="WW8Num19z0"/>
    <w:basedOn w:val="Carpredefinitoparagrafo"/>
    <w:rPr>
      <w:rFonts w:ascii="Symbol" w:hAnsi="Symbol" w:cs="Times New Roman" w:hint="default"/>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1">
    <w:name w:val="WW8Num19z1"/>
    <w:basedOn w:val="Carpredefinitoparagrafo"/>
    <w:rPr>
      <w:rFonts w:ascii="Times New Roman" w:hAnsi="Times New Roman" w:cs="Times New Roman" w:hint="default"/>
      <w:sz w:val="28"/>
      <w:szCs w:val="24"/>
    </w:rPr>
  </w:style>
  <w:style w:type="character" w:customStyle="1" w:styleId="WW8Num19z2">
    <w:name w:val="WW8Num19z2"/>
    <w:basedOn w:val="Carpredefinitoparagrafo"/>
    <w:rPr>
      <w:rFonts w:hint="default"/>
    </w:rPr>
  </w:style>
  <w:style w:type="character" w:customStyle="1" w:styleId="WW8Num19z3">
    <w:name w:val="WW8Num19z3"/>
    <w:basedOn w:val="Carpredefinitoparagrafo"/>
    <w:rPr>
      <w:rFonts w:ascii="Symbol" w:hAnsi="Symbol" w:cs="Symbol" w:hint="default"/>
    </w:rPr>
  </w:style>
  <w:style w:type="character" w:customStyle="1" w:styleId="WW8Num19z4">
    <w:name w:val="WW8Num19z4"/>
    <w:basedOn w:val="Carpredefinitoparagrafo"/>
    <w:rPr>
      <w:rFonts w:ascii="Courier New" w:hAnsi="Courier New" w:cs="Courier New" w:hint="default"/>
    </w:rPr>
  </w:style>
  <w:style w:type="character" w:customStyle="1" w:styleId="WW8Num19z5">
    <w:name w:val="WW8Num19z5"/>
    <w:basedOn w:val="Carpredefinitoparagrafo"/>
    <w:rPr>
      <w:rFonts w:ascii="Wingdings" w:hAnsi="Wingdings" w:cs="Wingdings" w:hint="default"/>
    </w:rPr>
  </w:style>
  <w:style w:type="character" w:customStyle="1" w:styleId="WW8Num20z0">
    <w:name w:val="WW8Num20z0"/>
    <w:basedOn w:val="Carpredefinitoparagrafo"/>
  </w:style>
  <w:style w:type="character" w:customStyle="1" w:styleId="WW8Num20z1">
    <w:name w:val="WW8Num20z1"/>
    <w:basedOn w:val="Carpredefinitoparagrafo"/>
    <w:rPr>
      <w:rFonts w:ascii="Wingdings" w:hAnsi="Wingdings" w:cs="Wingdings" w:hint="default"/>
    </w:rPr>
  </w:style>
  <w:style w:type="character" w:customStyle="1" w:styleId="WW8Num20z2">
    <w:name w:val="WW8Num20z2"/>
    <w:basedOn w:val="Carpredefinitoparagrafo"/>
    <w:rPr>
      <w:rFonts w:hint="default"/>
    </w:rPr>
  </w:style>
  <w:style w:type="character" w:customStyle="1" w:styleId="WW8Num20z3">
    <w:name w:val="WW8Num20z3"/>
    <w:basedOn w:val="Carpredefinitoparagrafo"/>
  </w:style>
  <w:style w:type="character" w:customStyle="1" w:styleId="WW8Num20z4">
    <w:name w:val="WW8Num20z4"/>
    <w:basedOn w:val="Carpredefinitoparagrafo"/>
  </w:style>
  <w:style w:type="character" w:customStyle="1" w:styleId="WW8Num20z5">
    <w:name w:val="WW8Num20z5"/>
    <w:basedOn w:val="Carpredefinitoparagrafo"/>
  </w:style>
  <w:style w:type="character" w:customStyle="1" w:styleId="WW8Num20z6">
    <w:name w:val="WW8Num20z6"/>
    <w:basedOn w:val="Carpredefinitoparagrafo"/>
  </w:style>
  <w:style w:type="character" w:customStyle="1" w:styleId="WW8Num20z7">
    <w:name w:val="WW8Num20z7"/>
    <w:basedOn w:val="Carpredefinitoparagrafo"/>
  </w:style>
  <w:style w:type="character" w:customStyle="1" w:styleId="WW8Num20z8">
    <w:name w:val="WW8Num20z8"/>
    <w:basedOn w:val="Carpredefinitoparagrafo"/>
  </w:style>
  <w:style w:type="character" w:customStyle="1" w:styleId="WW8Num21z0">
    <w:name w:val="WW8Num21z0"/>
    <w:basedOn w:val="Carpredefinitoparagrafo"/>
    <w:rPr>
      <w:rFonts w:ascii="Wingdings" w:hAnsi="Wingdings" w:cs="Wingdings" w:hint="default"/>
    </w:rPr>
  </w:style>
  <w:style w:type="character" w:customStyle="1" w:styleId="WW8Num21z1">
    <w:name w:val="WW8Num21z1"/>
    <w:basedOn w:val="Carpredefinitoparagrafo"/>
    <w:rPr>
      <w:rFonts w:ascii="Courier New" w:hAnsi="Courier New" w:cs="Courier New" w:hint="default"/>
    </w:rPr>
  </w:style>
  <w:style w:type="character" w:customStyle="1" w:styleId="WW8Num21z3">
    <w:name w:val="WW8Num21z3"/>
    <w:basedOn w:val="Carpredefinitoparagrafo"/>
    <w:rPr>
      <w:rFonts w:ascii="Symbol" w:hAnsi="Symbol" w:cs="Symbol" w:hint="default"/>
    </w:rPr>
  </w:style>
  <w:style w:type="character" w:customStyle="1" w:styleId="WW8Num22z0">
    <w:name w:val="WW8Num22z0"/>
    <w:basedOn w:val="Carpredefinitoparagrafo"/>
  </w:style>
  <w:style w:type="character" w:customStyle="1" w:styleId="WW8Num22z1">
    <w:name w:val="WW8Num22z1"/>
    <w:basedOn w:val="Carpredefinitoparagrafo"/>
    <w:rPr>
      <w:rFonts w:ascii="Symbol" w:hAnsi="Symbol" w:cs="Symbol" w:hint="default"/>
    </w:rPr>
  </w:style>
  <w:style w:type="character" w:customStyle="1" w:styleId="WW8Num22z4">
    <w:name w:val="WW8Num22z4"/>
    <w:basedOn w:val="Carpredefinitoparagrafo"/>
  </w:style>
  <w:style w:type="character" w:customStyle="1" w:styleId="WW8Num22z5">
    <w:name w:val="WW8Num22z5"/>
    <w:basedOn w:val="Carpredefinitoparagrafo"/>
  </w:style>
  <w:style w:type="character" w:customStyle="1" w:styleId="WW8Num22z6">
    <w:name w:val="WW8Num22z6"/>
    <w:basedOn w:val="Carpredefinitoparagrafo"/>
  </w:style>
  <w:style w:type="character" w:customStyle="1" w:styleId="WW8Num22z7">
    <w:name w:val="WW8Num22z7"/>
    <w:basedOn w:val="Carpredefinitoparagrafo"/>
  </w:style>
  <w:style w:type="character" w:customStyle="1" w:styleId="WW8Num22z8">
    <w:name w:val="WW8Num22z8"/>
    <w:basedOn w:val="Carpredefinitoparagrafo"/>
  </w:style>
  <w:style w:type="character" w:customStyle="1" w:styleId="WW8Num23z0">
    <w:name w:val="WW8Num23z0"/>
    <w:basedOn w:val="Carpredefinitoparagrafo"/>
    <w:rPr>
      <w:rFonts w:ascii="Symbol" w:hAnsi="Symbol" w:cs="Symbol" w:hint="default"/>
    </w:rPr>
  </w:style>
  <w:style w:type="character" w:customStyle="1" w:styleId="WW8Num23z1">
    <w:name w:val="WW8Num23z1"/>
    <w:basedOn w:val="Carpredefinitoparagrafo"/>
    <w:rPr>
      <w:rFonts w:ascii="Courier New" w:hAnsi="Courier New" w:cs="Courier New" w:hint="default"/>
    </w:rPr>
  </w:style>
  <w:style w:type="character" w:customStyle="1" w:styleId="WW8Num23z2">
    <w:name w:val="WW8Num23z2"/>
    <w:basedOn w:val="Carpredefinitoparagrafo"/>
    <w:rPr>
      <w:rFonts w:ascii="Wingdings" w:hAnsi="Wingdings" w:cs="Wingdings" w:hint="default"/>
    </w:rPr>
  </w:style>
  <w:style w:type="character" w:customStyle="1" w:styleId="WW8Num24z0">
    <w:name w:val="WW8Num24z0"/>
    <w:basedOn w:val="Carpredefinitoparagrafo"/>
    <w:rPr>
      <w:rFonts w:hint="default"/>
    </w:rPr>
  </w:style>
  <w:style w:type="character" w:customStyle="1" w:styleId="WW8Num24z1">
    <w:name w:val="WW8Num24z1"/>
    <w:basedOn w:val="Carpredefinitoparagrafo"/>
    <w:rPr>
      <w:rFonts w:ascii="Times New Roman" w:eastAsia="Times New Roman" w:hAnsi="Times New Roman" w:cs="Times New Roman" w:hint="default"/>
    </w:rPr>
  </w:style>
  <w:style w:type="character" w:customStyle="1" w:styleId="WW8Num24z2">
    <w:name w:val="WW8Num24z2"/>
    <w:basedOn w:val="Carpredefinitoparagrafo"/>
    <w:rPr>
      <w:rFonts w:hint="default"/>
      <w:b/>
    </w:rPr>
  </w:style>
  <w:style w:type="character" w:customStyle="1" w:styleId="WW8Num24z3">
    <w:name w:val="WW8Num24z3"/>
    <w:basedOn w:val="Carpredefinitoparagrafo"/>
    <w:rPr>
      <w:rFonts w:ascii="Monotype Sorts" w:eastAsia="Times New Roman" w:hAnsi="Monotype Sorts" w:cs="Times New Roman" w:hint="default"/>
      <w:b/>
    </w:rPr>
  </w:style>
  <w:style w:type="character" w:customStyle="1" w:styleId="WW8Num24z4">
    <w:name w:val="WW8Num24z4"/>
    <w:basedOn w:val="Carpredefinitoparagrafo"/>
  </w:style>
  <w:style w:type="character" w:customStyle="1" w:styleId="WW8Num24z5">
    <w:name w:val="WW8Num24z5"/>
    <w:basedOn w:val="Carpredefinitoparagrafo"/>
  </w:style>
  <w:style w:type="character" w:customStyle="1" w:styleId="WW8Num24z6">
    <w:name w:val="WW8Num24z6"/>
    <w:basedOn w:val="Carpredefinitoparagrafo"/>
  </w:style>
  <w:style w:type="character" w:customStyle="1" w:styleId="WW8Num24z7">
    <w:name w:val="WW8Num24z7"/>
    <w:basedOn w:val="Carpredefinitoparagrafo"/>
  </w:style>
  <w:style w:type="character" w:customStyle="1" w:styleId="WW8Num24z8">
    <w:name w:val="WW8Num24z8"/>
    <w:basedOn w:val="Carpredefinitoparagrafo"/>
  </w:style>
  <w:style w:type="character" w:customStyle="1" w:styleId="WW8Num25z0">
    <w:name w:val="WW8Num25z0"/>
    <w:basedOn w:val="Carpredefinitoparagrafo"/>
  </w:style>
  <w:style w:type="character" w:customStyle="1" w:styleId="WW8Num26z0">
    <w:name w:val="WW8Num26z0"/>
    <w:basedOn w:val="Carpredefinitoparagrafo"/>
    <w:rPr>
      <w:rFonts w:ascii="Wingdings" w:hAnsi="Wingdings" w:cs="Wingdings" w:hint="default"/>
    </w:rPr>
  </w:style>
  <w:style w:type="character" w:customStyle="1" w:styleId="WW8Num26z1">
    <w:name w:val="WW8Num26z1"/>
    <w:basedOn w:val="Carpredefinitoparagrafo"/>
    <w:rPr>
      <w:rFonts w:ascii="Courier New" w:hAnsi="Courier New" w:cs="Courier New" w:hint="default"/>
    </w:rPr>
  </w:style>
  <w:style w:type="character" w:customStyle="1" w:styleId="WW8Num26z3">
    <w:name w:val="WW8Num26z3"/>
    <w:basedOn w:val="Carpredefinitoparagrafo"/>
    <w:rPr>
      <w:rFonts w:ascii="Symbol" w:hAnsi="Symbol" w:cs="Symbol" w:hint="default"/>
    </w:rPr>
  </w:style>
  <w:style w:type="character" w:customStyle="1" w:styleId="WW8Num27z0">
    <w:name w:val="WW8Num27z0"/>
    <w:basedOn w:val="Carpredefinitoparagrafo"/>
    <w:rPr>
      <w:rFonts w:ascii="Times New Roman" w:eastAsia="Times New Roman" w:hAnsi="Times New Roman" w:cs="Times New Roman" w:hint="default"/>
    </w:rPr>
  </w:style>
  <w:style w:type="character" w:customStyle="1" w:styleId="WW8Num27z1">
    <w:name w:val="WW8Num27z1"/>
    <w:basedOn w:val="Carpredefinitoparagrafo"/>
    <w:rPr>
      <w:rFonts w:ascii="Courier New" w:hAnsi="Courier New" w:cs="Courier New" w:hint="default"/>
    </w:rPr>
  </w:style>
  <w:style w:type="character" w:customStyle="1" w:styleId="WW8Num27z2">
    <w:name w:val="WW8Num27z2"/>
    <w:basedOn w:val="Carpredefinitoparagrafo"/>
    <w:rPr>
      <w:rFonts w:ascii="Wingdings" w:hAnsi="Wingdings" w:cs="Wingdings" w:hint="default"/>
    </w:rPr>
  </w:style>
  <w:style w:type="character" w:customStyle="1" w:styleId="WW8Num27z3">
    <w:name w:val="WW8Num27z3"/>
    <w:basedOn w:val="Carpredefinitoparagrafo"/>
    <w:rPr>
      <w:rFonts w:ascii="Symbol" w:hAnsi="Symbol" w:cs="Symbol" w:hint="default"/>
    </w:rPr>
  </w:style>
  <w:style w:type="character" w:customStyle="1" w:styleId="WW8Num28z0">
    <w:name w:val="WW8Num28z0"/>
    <w:basedOn w:val="Carpredefinitoparagrafo"/>
    <w:rPr>
      <w:rFonts w:hint="default"/>
    </w:rPr>
  </w:style>
  <w:style w:type="character" w:customStyle="1" w:styleId="WW8Num28z2">
    <w:name w:val="WW8Num28z2"/>
    <w:basedOn w:val="Carpredefinitoparagrafo"/>
  </w:style>
  <w:style w:type="character" w:customStyle="1" w:styleId="WW8Num28z3">
    <w:name w:val="WW8Num28z3"/>
    <w:basedOn w:val="Carpredefinitoparagrafo"/>
  </w:style>
  <w:style w:type="character" w:customStyle="1" w:styleId="WW8Num28z4">
    <w:name w:val="WW8Num28z4"/>
    <w:basedOn w:val="Carpredefinitoparagrafo"/>
  </w:style>
  <w:style w:type="character" w:customStyle="1" w:styleId="WW8Num28z5">
    <w:name w:val="WW8Num28z5"/>
    <w:basedOn w:val="Carpredefinitoparagrafo"/>
  </w:style>
  <w:style w:type="character" w:customStyle="1" w:styleId="WW8Num28z6">
    <w:name w:val="WW8Num28z6"/>
    <w:basedOn w:val="Carpredefinitoparagrafo"/>
  </w:style>
  <w:style w:type="character" w:customStyle="1" w:styleId="WW8Num28z7">
    <w:name w:val="WW8Num28z7"/>
    <w:basedOn w:val="Carpredefinitoparagrafo"/>
  </w:style>
  <w:style w:type="character" w:customStyle="1" w:styleId="WW8Num28z8">
    <w:name w:val="WW8Num28z8"/>
    <w:basedOn w:val="Carpredefinitoparagrafo"/>
  </w:style>
  <w:style w:type="character" w:customStyle="1" w:styleId="WW8Num29z0">
    <w:name w:val="WW8Num29z0"/>
    <w:basedOn w:val="Carpredefinitoparagrafo"/>
    <w:rPr>
      <w:rFonts w:ascii="Symbol" w:hAnsi="Symbol" w:cs="Symbol" w:hint="default"/>
    </w:rPr>
  </w:style>
  <w:style w:type="character" w:customStyle="1" w:styleId="WW8Num29z1">
    <w:name w:val="WW8Num29z1"/>
    <w:basedOn w:val="Carpredefinitoparagrafo"/>
    <w:rPr>
      <w:rFonts w:ascii="Courier New" w:hAnsi="Courier New" w:cs="Courier New" w:hint="default"/>
    </w:rPr>
  </w:style>
  <w:style w:type="character" w:customStyle="1" w:styleId="WW8Num29z2">
    <w:name w:val="WW8Num29z2"/>
    <w:basedOn w:val="Carpredefinitoparagrafo"/>
    <w:rPr>
      <w:rFonts w:ascii="Wingdings" w:hAnsi="Wingdings" w:cs="Wingdings" w:hint="default"/>
    </w:rPr>
  </w:style>
  <w:style w:type="character" w:customStyle="1" w:styleId="WW8Num30z0">
    <w:name w:val="WW8Num30z0"/>
    <w:basedOn w:val="Carpredefinitoparagrafo"/>
    <w:rPr>
      <w:rFonts w:ascii="Times New Roman" w:hAnsi="Times New Roman" w:cs="Times New Roman" w:hint="default"/>
      <w:sz w:val="28"/>
    </w:rPr>
  </w:style>
  <w:style w:type="character" w:customStyle="1" w:styleId="WW8Num30z1">
    <w:name w:val="WW8Num30z1"/>
    <w:basedOn w:val="Carpredefinitoparagrafo"/>
    <w:rPr>
      <w:rFonts w:ascii="Wingdings" w:eastAsia="Arial Unicode MS" w:hAnsi="Wingdings" w:cs="Times New Roman" w:hint="default"/>
    </w:rPr>
  </w:style>
  <w:style w:type="character" w:customStyle="1" w:styleId="WW8Num30z2">
    <w:name w:val="WW8Num30z2"/>
    <w:basedOn w:val="Carpredefinitoparagrafo"/>
    <w:rPr>
      <w:rFonts w:ascii="Wingdings" w:hAnsi="Wingdings" w:cs="Wingdings" w:hint="default"/>
    </w:rPr>
  </w:style>
  <w:style w:type="character" w:customStyle="1" w:styleId="WW8Num30z3">
    <w:name w:val="WW8Num30z3"/>
    <w:basedOn w:val="Carpredefinitoparagrafo"/>
    <w:rPr>
      <w:rFonts w:ascii="Symbol" w:hAnsi="Symbol" w:cs="Symbol" w:hint="default"/>
    </w:rPr>
  </w:style>
  <w:style w:type="character" w:customStyle="1" w:styleId="WW8Num30z4">
    <w:name w:val="WW8Num30z4"/>
    <w:basedOn w:val="Carpredefinitoparagrafo"/>
    <w:rPr>
      <w:rFonts w:ascii="Courier New" w:hAnsi="Courier New" w:cs="Courier New" w:hint="default"/>
    </w:rPr>
  </w:style>
  <w:style w:type="character" w:customStyle="1" w:styleId="WW8NumSt13z1">
    <w:name w:val="WW8NumSt13z1"/>
    <w:basedOn w:val="Carpredefinitoparagrafo"/>
    <w:rPr>
      <w:rFonts w:ascii="Symbol" w:hAnsi="Symbol" w:cs="Symbol" w:hint="default"/>
    </w:rPr>
  </w:style>
  <w:style w:type="character" w:customStyle="1" w:styleId="Carpredefinitoparagrafo1">
    <w:name w:val="Car. predefinito paragrafo1"/>
    <w:basedOn w:val="Carpredefinitoparagrafo"/>
  </w:style>
  <w:style w:type="character" w:customStyle="1" w:styleId="Caratteredellanota">
    <w:name w:val="Carattere della nota"/>
    <w:basedOn w:val="Carpredefinitoparagrafo"/>
    <w:rPr>
      <w:vertAlign w:val="superscript"/>
    </w:rPr>
  </w:style>
  <w:style w:type="character" w:styleId="Numeropagina">
    <w:name w:val="page number"/>
    <w:basedOn w:val="Carpredefinitoparagrafo1"/>
  </w:style>
  <w:style w:type="character" w:styleId="Collegamentoipertestuale">
    <w:name w:val="Hyperlink"/>
    <w:basedOn w:val="Carpredefinitoparagrafo"/>
    <w:rPr>
      <w:color w:val="0000FF"/>
      <w:u w:val="single"/>
    </w:rPr>
  </w:style>
  <w:style w:type="character" w:customStyle="1" w:styleId="Rientrocorpodeltesto2Carattere">
    <w:name w:val="Rientro corpo del testo 2 Carattere"/>
    <w:basedOn w:val="Carpredefinitoparagrafo"/>
    <w:rPr>
      <w:sz w:val="24"/>
      <w:szCs w:val="24"/>
    </w:rPr>
  </w:style>
  <w:style w:type="character" w:customStyle="1" w:styleId="TestofumettoCarattere">
    <w:name w:val="Testo fumetto Carattere"/>
    <w:basedOn w:val="Carpredefinitoparagrafo"/>
    <w:rPr>
      <w:rFonts w:ascii="Tahoma" w:hAnsi="Tahoma" w:cs="Tahoma"/>
      <w:sz w:val="16"/>
      <w:szCs w:val="16"/>
    </w:rPr>
  </w:style>
  <w:style w:type="character" w:customStyle="1" w:styleId="Titolo3Carattere">
    <w:name w:val="Titolo 3 Carattere"/>
    <w:basedOn w:val="Carpredefinitoparagrafo"/>
    <w:rPr>
      <w:rFonts w:ascii="Cambria" w:eastAsia="Times New Roman" w:hAnsi="Cambria" w:cs="Times New Roman"/>
      <w:b/>
      <w:bCs/>
      <w:sz w:val="26"/>
      <w:szCs w:val="26"/>
    </w:rPr>
  </w:style>
  <w:style w:type="character" w:customStyle="1" w:styleId="Titolo4Carattere">
    <w:name w:val="Titolo 4 Carattere"/>
    <w:basedOn w:val="Carpredefinitoparagrafo"/>
    <w:rPr>
      <w:rFonts w:ascii="Calibri" w:eastAsia="Times New Roman" w:hAnsi="Calibri" w:cs="Times New Roman"/>
      <w:b/>
      <w:bCs/>
      <w:sz w:val="28"/>
      <w:szCs w:val="28"/>
    </w:rPr>
  </w:style>
  <w:style w:type="character" w:customStyle="1" w:styleId="NessunoA">
    <w:name w:val="Nessuno A"/>
    <w:basedOn w:val="Carpredefinitoparagrafo"/>
  </w:style>
  <w:style w:type="paragraph" w:customStyle="1" w:styleId="Intestazione1">
    <w:name w:val="Intestazione1"/>
    <w:basedOn w:val="Normale"/>
    <w:next w:val="Corpotesto"/>
    <w:pPr>
      <w:keepNext/>
      <w:spacing w:before="240" w:after="120"/>
    </w:pPr>
    <w:rPr>
      <w:rFonts w:ascii="Arial" w:eastAsia="Arial Unicode MS" w:hAnsi="Arial" w:cs="Arial Unicode MS"/>
      <w:sz w:val="28"/>
      <w:szCs w:val="28"/>
    </w:rPr>
  </w:style>
  <w:style w:type="paragraph" w:styleId="Corpotesto">
    <w:name w:val="Body Text"/>
    <w:basedOn w:val="Normale"/>
    <w:pPr>
      <w:jc w:val="center"/>
    </w:pPr>
    <w:rPr>
      <w:b/>
      <w:bCs/>
      <w:sz w:val="28"/>
    </w:rPr>
  </w:style>
  <w:style w:type="paragraph" w:styleId="Elenco">
    <w:name w:val="List"/>
    <w:basedOn w:val="Corpotesto"/>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paragraph" w:customStyle="1" w:styleId="sche3">
    <w:name w:val="sche_3"/>
    <w:pPr>
      <w:widowControl w:val="0"/>
      <w:suppressAutoHyphens/>
      <w:overflowPunct w:val="0"/>
      <w:autoSpaceDE w:val="0"/>
      <w:jc w:val="both"/>
      <w:textAlignment w:val="baseline"/>
    </w:pPr>
    <w:rPr>
      <w:lang w:val="en-US" w:eastAsia="ar-SA"/>
    </w:rPr>
  </w:style>
  <w:style w:type="paragraph" w:customStyle="1" w:styleId="sche22">
    <w:name w:val="sche2_2"/>
    <w:pPr>
      <w:widowControl w:val="0"/>
      <w:suppressAutoHyphens/>
      <w:overflowPunct w:val="0"/>
      <w:autoSpaceDE w:val="0"/>
      <w:jc w:val="right"/>
      <w:textAlignment w:val="baseline"/>
    </w:pPr>
    <w:rPr>
      <w:lang w:val="en-US" w:eastAsia="ar-SA"/>
    </w:rPr>
  </w:style>
  <w:style w:type="paragraph" w:customStyle="1" w:styleId="sche23">
    <w:name w:val="sche2_3"/>
    <w:pPr>
      <w:widowControl w:val="0"/>
      <w:suppressAutoHyphens/>
      <w:overflowPunct w:val="0"/>
      <w:autoSpaceDE w:val="0"/>
      <w:jc w:val="right"/>
      <w:textAlignment w:val="baseline"/>
    </w:pPr>
    <w:rPr>
      <w:lang w:val="en-US" w:eastAsia="ar-SA"/>
    </w:rPr>
  </w:style>
  <w:style w:type="paragraph" w:styleId="Testonotaapidipagina">
    <w:name w:val="footnote text"/>
    <w:basedOn w:val="Normale"/>
    <w:uiPriority w:val="99"/>
    <w:pPr>
      <w:widowControl w:val="0"/>
      <w:overflowPunct w:val="0"/>
      <w:autoSpaceDE w:val="0"/>
      <w:textAlignment w:val="baseline"/>
    </w:pPr>
    <w:rPr>
      <w:sz w:val="20"/>
      <w:szCs w:val="20"/>
    </w:rPr>
  </w:style>
  <w:style w:type="paragraph" w:customStyle="1" w:styleId="Corpodeltesto21">
    <w:name w:val="Corpo del testo 21"/>
    <w:basedOn w:val="Normale"/>
    <w:pPr>
      <w:overflowPunct w:val="0"/>
      <w:autoSpaceDE w:val="0"/>
      <w:spacing w:line="360" w:lineRule="auto"/>
      <w:ind w:left="425"/>
      <w:jc w:val="both"/>
      <w:textAlignment w:val="baseline"/>
    </w:pPr>
    <w:rPr>
      <w:rFonts w:ascii="Arial" w:hAnsi="Arial" w:cs="Arial"/>
      <w:sz w:val="20"/>
      <w:szCs w:val="20"/>
    </w:rPr>
  </w:style>
  <w:style w:type="paragraph" w:customStyle="1" w:styleId="sche4">
    <w:name w:val="sche_4"/>
    <w:pPr>
      <w:widowControl w:val="0"/>
      <w:suppressAutoHyphens/>
      <w:jc w:val="both"/>
    </w:pPr>
    <w:rPr>
      <w:lang w:val="en-US" w:eastAsia="ar-SA"/>
    </w:rPr>
  </w:style>
  <w:style w:type="paragraph" w:styleId="Rientrocorpodeltesto">
    <w:name w:val="Body Text Indent"/>
    <w:basedOn w:val="Normale"/>
    <w:pPr>
      <w:tabs>
        <w:tab w:val="left" w:pos="0"/>
        <w:tab w:val="left" w:pos="8496"/>
      </w:tabs>
      <w:spacing w:line="360" w:lineRule="auto"/>
      <w:ind w:left="1068"/>
      <w:jc w:val="both"/>
    </w:pPr>
    <w:rPr>
      <w:spacing w:val="-2"/>
    </w:rPr>
  </w:style>
  <w:style w:type="paragraph" w:styleId="Pidipagina">
    <w:name w:val="footer"/>
    <w:basedOn w:val="Normale"/>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paragraph" w:customStyle="1" w:styleId="Corpodeltesto210">
    <w:name w:val="Corpo del testo 21_0"/>
    <w:basedOn w:val="Normale"/>
    <w:pPr>
      <w:jc w:val="both"/>
    </w:pPr>
    <w:rPr>
      <w:i/>
      <w:szCs w:val="20"/>
    </w:rPr>
  </w:style>
  <w:style w:type="paragraph" w:customStyle="1" w:styleId="Rientrocorpodeltesto22">
    <w:name w:val="Rientro corpo del testo 22"/>
    <w:basedOn w:val="Normale"/>
    <w:pPr>
      <w:spacing w:after="120" w:line="480" w:lineRule="auto"/>
      <w:ind w:left="283"/>
    </w:pPr>
  </w:style>
  <w:style w:type="paragraph" w:styleId="Paragrafoelenco">
    <w:name w:val="List Paragraph"/>
    <w:basedOn w:val="Normale"/>
    <w:uiPriority w:val="34"/>
    <w:qFormat/>
    <w:pPr>
      <w:spacing w:after="200" w:line="276" w:lineRule="auto"/>
      <w:ind w:left="720"/>
    </w:pPr>
    <w:rPr>
      <w:rFonts w:ascii="Calibri" w:eastAsia="Calibri" w:hAnsi="Calibri" w:cs="Calibri"/>
      <w:sz w:val="22"/>
      <w:szCs w:val="22"/>
    </w:rPr>
  </w:style>
  <w:style w:type="paragraph" w:styleId="Testofumetto">
    <w:name w:val="Balloon Text"/>
    <w:basedOn w:val="Normale"/>
    <w:rPr>
      <w:rFonts w:ascii="Tahoma" w:hAnsi="Tahoma" w:cs="Tahoma"/>
      <w:sz w:val="16"/>
      <w:szCs w:val="16"/>
    </w:rPr>
  </w:style>
  <w:style w:type="paragraph" w:customStyle="1" w:styleId="art-testo">
    <w:name w:val="art-testo"/>
    <w:basedOn w:val="Normale"/>
    <w:pPr>
      <w:snapToGrid w:val="0"/>
      <w:jc w:val="both"/>
    </w:pPr>
    <w:rPr>
      <w:szCs w:val="20"/>
    </w:rPr>
  </w:style>
  <w:style w:type="paragraph" w:customStyle="1" w:styleId="legale">
    <w:name w:val="legale"/>
    <w:basedOn w:val="Normale"/>
    <w:pPr>
      <w:spacing w:line="481" w:lineRule="exact"/>
      <w:jc w:val="both"/>
    </w:pPr>
    <w:rPr>
      <w:rFonts w:ascii="Bookman" w:hAnsi="Bookman" w:cs="Bookman"/>
      <w:sz w:val="20"/>
      <w:szCs w:val="20"/>
    </w:rPr>
  </w:style>
  <w:style w:type="paragraph" w:customStyle="1" w:styleId="Rientrocorpodeltesto21">
    <w:name w:val="Rientro corpo del testo 21"/>
    <w:basedOn w:val="Normale"/>
    <w:pPr>
      <w:widowControl w:val="0"/>
      <w:ind w:left="720" w:hanging="360"/>
      <w:jc w:val="both"/>
    </w:pPr>
    <w:rPr>
      <w:rFonts w:eastAsia="Arial Unicode MS"/>
      <w:b/>
      <w:kern w:val="1"/>
    </w:rPr>
  </w:style>
  <w:style w:type="paragraph" w:customStyle="1" w:styleId="Contenutocornice">
    <w:name w:val="Contenuto cornice"/>
    <w:basedOn w:val="Corpotesto"/>
  </w:style>
  <w:style w:type="paragraph" w:customStyle="1" w:styleId="WW-Rigadintestazione">
    <w:name w:val="WW-Riga d'intestazione"/>
    <w:pPr>
      <w:shd w:val="clear" w:color="auto" w:fill="FFFFFF"/>
      <w:suppressAutoHyphens/>
      <w:spacing w:after="200" w:line="276" w:lineRule="auto"/>
    </w:pPr>
    <w:rPr>
      <w:rFonts w:ascii="Arial" w:eastAsia="Arial Unicode MS" w:hAnsi="Arial" w:cs="Arial Unicode MS"/>
      <w:color w:val="00000A"/>
      <w:kern w:val="1"/>
      <w:sz w:val="22"/>
      <w:szCs w:val="22"/>
      <w:lang w:eastAsia="hi-IN" w:bidi="hi-IN"/>
    </w:rPr>
  </w:style>
  <w:style w:type="character" w:styleId="Rimandonotaapidipagina">
    <w:name w:val="footnote reference"/>
    <w:basedOn w:val="Carpredefinitoparagrafo"/>
    <w:uiPriority w:val="99"/>
    <w:semiHidden/>
    <w:unhideWhenUsed/>
    <w:rPr>
      <w:vertAlign w:val="superscript"/>
    </w:rPr>
  </w:style>
  <w:style w:type="character" w:customStyle="1" w:styleId="TestonotaapidipaginaCarattere">
    <w:name w:val="Testo nota a piè di pagina Carattere"/>
    <w:basedOn w:val="Carpredefinitoparagrafo"/>
    <w:uiPriority w:val="99"/>
    <w:rPr>
      <w:lang w:eastAsia="ar-SA"/>
    </w:rPr>
  </w:style>
  <w:style w:type="paragraph" w:customStyle="1" w:styleId="has-text-align-center">
    <w:name w:val="has-text-align-center"/>
    <w:basedOn w:val="Normale"/>
    <w:pPr>
      <w:suppressAutoHyphens w:val="0"/>
      <w:spacing w:before="100" w:beforeAutospacing="1" w:after="100" w:afterAutospacing="1"/>
    </w:pPr>
    <w:rPr>
      <w:lang w:eastAsia="it-IT"/>
    </w:rPr>
  </w:style>
  <w:style w:type="paragraph" w:styleId="NormaleWeb">
    <w:name w:val="Normal (Web)"/>
    <w:basedOn w:val="Normale"/>
    <w:uiPriority w:val="99"/>
    <w:unhideWhenUsed/>
    <w:pPr>
      <w:suppressAutoHyphens w:val="0"/>
      <w:spacing w:before="100" w:beforeAutospacing="1" w:after="100" w:afterAutospacing="1"/>
    </w:pPr>
    <w:rPr>
      <w:lang w:eastAsia="it-IT"/>
    </w:rPr>
  </w:style>
  <w:style w:type="character" w:customStyle="1" w:styleId="IntestazioneCarattere">
    <w:name w:val="Intestazione Carattere"/>
    <w:basedOn w:val="Carpredefinitoparagrafo"/>
    <w:link w:val="Intestazione"/>
    <w:uiPriority w:val="99"/>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igifadda.it/affidamenti-sottosogli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00FCA-B35C-46B0-8D75-F1101DE7C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2462</Words>
  <Characters>14034</Characters>
  <Application>Microsoft Office Word</Application>
  <DocSecurity>0</DocSecurity>
  <Lines>116</Lines>
  <Paragraphs>32</Paragraphs>
  <ScaleCrop>false</ScaleCrop>
  <Manager/>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X-UP Document</dc:title>
  <dc:subject/>
  <dc:creator/>
  <cp:keywords/>
  <dc:description/>
  <cp:lastModifiedBy>Giovanna Cassisa</cp:lastModifiedBy>
  <cp:revision>21</cp:revision>
  <cp:lastPrinted>2017-09-15T07:10:00Z</cp:lastPrinted>
  <dcterms:created xsi:type="dcterms:W3CDTF">2023-10-12T12:56:00Z</dcterms:created>
  <dcterms:modified xsi:type="dcterms:W3CDTF">2025-03-24T17:06:00Z</dcterms:modified>
  <cp:category/>
</cp:coreProperties>
</file>