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ind w:left="1260" w:hanging="1260"/>
        <w:jc w:val="center"/>
        <w:rPr>
          <w:b w:val="1"/>
          <w:i w:val="1"/>
          <w:sz w:val="22"/>
          <w:szCs w:val="22"/>
        </w:rPr>
      </w:pPr>
      <w:r w:rsidDel="00000000" w:rsidR="00000000" w:rsidRPr="00000000">
        <w:rPr>
          <w:b w:val="1"/>
          <w:i w:val="1"/>
          <w:sz w:val="22"/>
          <w:szCs w:val="22"/>
          <w:rtl w:val="0"/>
        </w:rPr>
        <w:t xml:space="preserve">DICHIARAZIONE SOSTITUTIVA DI CERTIFICAZIONI/ATTO NOTORIO</w:t>
      </w:r>
    </w:p>
    <w:p w:rsidR="00000000" w:rsidDel="00000000" w:rsidP="00000000" w:rsidRDefault="00000000" w:rsidRPr="00000000" w14:paraId="00000002">
      <w:pPr>
        <w:jc w:val="center"/>
        <w:rPr>
          <w:b w:val="1"/>
          <w:i w:val="1"/>
          <w:sz w:val="22"/>
          <w:szCs w:val="22"/>
        </w:rPr>
      </w:pPr>
      <w:r w:rsidDel="00000000" w:rsidR="00000000" w:rsidRPr="00000000">
        <w:rPr>
          <w:b w:val="1"/>
          <w:i w:val="1"/>
          <w:sz w:val="22"/>
          <w:szCs w:val="22"/>
          <w:rtl w:val="0"/>
        </w:rPr>
        <w:t xml:space="preserve">(ART. 46 E 47 D.P.R. 28 DICEMBRE 2000, N. 445)</w:t>
      </w:r>
    </w:p>
    <w:p w:rsidR="00000000" w:rsidDel="00000000" w:rsidP="00000000" w:rsidRDefault="00000000" w:rsidRPr="00000000" w14:paraId="00000003">
      <w:pPr>
        <w:jc w:val="center"/>
        <w:rPr>
          <w:b w:val="1"/>
          <w:i w:val="1"/>
          <w:sz w:val="22"/>
          <w:szCs w:val="22"/>
        </w:rPr>
      </w:pPr>
      <w:r w:rsidDel="00000000" w:rsidR="00000000" w:rsidRPr="00000000">
        <w:rPr>
          <w:rtl w:val="0"/>
        </w:rPr>
      </w:r>
    </w:p>
    <w:p w:rsidR="00000000" w:rsidDel="00000000" w:rsidP="00000000" w:rsidRDefault="00000000" w:rsidRPr="00000000" w14:paraId="00000004">
      <w:pPr>
        <w:tabs>
          <w:tab w:val="center" w:leader="none" w:pos="4962"/>
        </w:tabs>
        <w:spacing w:after="120"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AFFIDAMENTO DELLA FORNITURA DI UN ANALIZZATORE DI CO2/O2/H2  NELL’AMBITO DEL PIANO NAZIONALE RIPRESA E RESILIENZA (PNRR) - Finanziato dall’Unione europea – NextGenerationEU - MISSIONE 4 COMPONENTE 2 INVESTIMENTO 1.3 - SPOKE 5 - Decreto Direttoriale n. 1561 del 11 ottobre 2022 PROGETTO NEST - Network 4 Energy Sustainable Transition PE_00000021 CUP B53C22004070006 Resp. Giorgio Vilardi - Codice Gara XuP id.778</w:t>
      </w:r>
    </w:p>
    <w:p w:rsidR="00000000" w:rsidDel="00000000" w:rsidP="00000000" w:rsidRDefault="00000000" w:rsidRPr="00000000" w14:paraId="00000005">
      <w:pPr>
        <w:jc w:val="both"/>
        <w:rPr>
          <w:sz w:val="22"/>
          <w:szCs w:val="22"/>
        </w:rPr>
      </w:pPr>
      <w:r w:rsidDel="00000000" w:rsidR="00000000" w:rsidRPr="00000000">
        <w:rPr>
          <w:rtl w:val="0"/>
        </w:rPr>
      </w:r>
    </w:p>
    <w:p w:rsidR="00000000" w:rsidDel="00000000" w:rsidP="00000000" w:rsidRDefault="00000000" w:rsidRPr="00000000" w14:paraId="00000006">
      <w:pPr>
        <w:jc w:val="both"/>
        <w:rPr>
          <w:sz w:val="22"/>
          <w:szCs w:val="22"/>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Il sottoscritto ____________________________________________________________________________</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nato il ________________________a ________________________________________ (_______________)</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residente a __________________________ (_____) Via _________________________________________</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codice fiscale ____________________________________________________________________________</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in qualità di _____________________________________________________________________________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dell'Impresa _____________________________________________________________________________</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 sede legale in ___________ (_______) Cap ____________ Via _________________________________</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tel. _______________________ n° di fax_______________ PEC___________________________________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Codice Fiscale dell’Impresa ____________________ Partita IVA dell’Impresa _______________________</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iscritta al Registro delle Imprese, se italiana, della Camera di Commercio di __________________________,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al n. _________________________, a decorrere dal _______________________, per l’esercizio dell’attività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_____________________________________________________________________</w:t>
      </w:r>
      <w:r w:rsidDel="00000000" w:rsidR="00000000" w:rsidRPr="00000000">
        <w:rPr>
          <w:rFonts w:ascii="Times New Roman" w:cs="Times New Roman" w:eastAsia="Times New Roman" w:hAnsi="Times New Roman"/>
          <w:b w:val="1"/>
          <w:i w:val="1"/>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425"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consapevole delle sanzioni penali, nel caso di dichiarazioni non veritiere, di formazione o uso di atti falsi, richiamate dall’art. 76 del D.P.R. 445 del 28 dicembre 2000 e smi, consapevole, altresì, di incorrere nella decadenza dai benefici eventualmente conseguenti al provvedimento emanato dall’amministrazione, qualora in sede di controllo emerga la non veridicità del contenuto della dichiarazione, sotto la propria responsabilità</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DICHIARA</w:t>
      </w:r>
      <w:r w:rsidDel="00000000" w:rsidR="00000000" w:rsidRPr="00000000">
        <w:rPr>
          <w:rtl w:val="0"/>
        </w:rPr>
      </w:r>
    </w:p>
    <w:p w:rsidR="00000000" w:rsidDel="00000000" w:rsidP="00000000" w:rsidRDefault="00000000" w:rsidRPr="00000000" w14:paraId="00000016">
      <w:pPr>
        <w:jc w:val="both"/>
        <w:rPr>
          <w:sz w:val="22"/>
          <w:szCs w:val="22"/>
        </w:rPr>
      </w:pPr>
      <w:r w:rsidDel="00000000" w:rsidR="00000000" w:rsidRPr="00000000">
        <w:rPr>
          <w:rtl w:val="0"/>
        </w:rPr>
      </w:r>
    </w:p>
    <w:p w:rsidR="00000000" w:rsidDel="00000000" w:rsidP="00000000" w:rsidRDefault="00000000" w:rsidRPr="00000000" w14:paraId="00000017">
      <w:pPr>
        <w:jc w:val="both"/>
        <w:rPr>
          <w:sz w:val="22"/>
          <w:szCs w:val="22"/>
        </w:rPr>
      </w:pPr>
      <w:bookmarkStart w:colFirst="0" w:colLast="0" w:name="_heading=h.gjdgxs" w:id="0"/>
      <w:bookmarkEnd w:id="0"/>
      <w:r w:rsidDel="00000000" w:rsidR="00000000" w:rsidRPr="00000000">
        <w:rPr>
          <w:b w:val="1"/>
          <w:sz w:val="22"/>
          <w:szCs w:val="22"/>
          <w:u w:val="single"/>
          <w:rtl w:val="0"/>
        </w:rPr>
        <w:t xml:space="preserve">di non trovarsi in alcuna delle cause di esclusione di cui all’art. 94 del D. Lgs. 36/2023 intitolato “Cause di esclusione automatica” ed in particolare (barrare con “X”):</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3400"/>
        </w:tabs>
        <w:spacing w:after="0" w:before="0" w:line="240" w:lineRule="auto"/>
        <w:ind w:left="0" w:right="0" w:firstLine="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23400"/>
        </w:tabs>
        <w:spacing w:after="0" w:before="0" w:line="240" w:lineRule="auto"/>
        <w:ind w:left="0" w:right="0" w:firstLine="0"/>
        <w:jc w:val="both"/>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 1)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di non aver riportato la condanna con sentenza definitiva o decreto penale di condanna divenuto irrevocabile per uno dei seguenti reati:</w:t>
      </w:r>
      <w:r w:rsidDel="00000000" w:rsidR="00000000" w:rsidRPr="00000000">
        <w:rPr>
          <w:rtl w:val="0"/>
        </w:rPr>
      </w:r>
    </w:p>
    <w:p w:rsidR="00000000" w:rsidDel="00000000" w:rsidP="00000000" w:rsidRDefault="00000000" w:rsidRPr="00000000" w14:paraId="0000001A">
      <w:pPr>
        <w:numPr>
          <w:ilvl w:val="0"/>
          <w:numId w:val="7"/>
        </w:numPr>
        <w:tabs>
          <w:tab w:val="left" w:leader="none" w:pos="-26476"/>
          <w:tab w:val="left" w:leader="none" w:pos="9638"/>
          <w:tab w:val="left" w:leader="none" w:pos="10076"/>
          <w:tab w:val="left" w:leader="none" w:pos="10992"/>
          <w:tab w:val="left" w:leader="none" w:pos="11908"/>
          <w:tab w:val="left" w:leader="none" w:pos="12824"/>
          <w:tab w:val="left" w:leader="none" w:pos="13740"/>
          <w:tab w:val="left" w:leader="none" w:pos="14656"/>
        </w:tabs>
        <w:ind w:left="851" w:hanging="425"/>
        <w:jc w:val="both"/>
        <w:rPr>
          <w:sz w:val="22"/>
          <w:szCs w:val="22"/>
        </w:rPr>
      </w:pPr>
      <w:r w:rsidDel="00000000" w:rsidR="00000000" w:rsidRPr="00000000">
        <w:rPr>
          <w:sz w:val="22"/>
          <w:szCs w:val="22"/>
          <w:rtl w:val="0"/>
        </w:rPr>
        <w:t xml:space="preserve">delitti, consumati o tentati, di cui agli articoli 416, 416-bis del codice penale oppure delitti commessi avvalendosi delle condizioni previste dal predetto articolo 416-bis oppure al fine di agevolare l'attività delle associazioni previste dallo stesso articolo, nonché per i delitti, consumati o tentati, previsti dall'articolo 74 del testo unico delle leggi in materia di disciplina degli stupefacenti e sostanze psicotrope, prevenzione, cura e riabilitazione dei relativi stati di tossicodipendenza, di cui al decreto del Presidente della Repubblica 9 ottobre 1990, n. 309, dall'articolo 291-quater del testo unico delle disposizioni legislative in materia doganale, di cui al decreto del Presidente della Repubblica 23 gennaio 1973, n. 43 e dall'articolo 452-quaterdieces del codice penale, in quanto riconducibili alla partecipazione a un'organizzazione criminale, quale definita all'articolo 2 della decisione quadro 2008/841/GAI del Consiglio dell’Unione europea, del 24 ottobre 2008; (</w:t>
      </w:r>
      <w:r w:rsidDel="00000000" w:rsidR="00000000" w:rsidRPr="00000000">
        <w:rPr>
          <w:b w:val="1"/>
          <w:sz w:val="22"/>
          <w:szCs w:val="22"/>
          <w:rtl w:val="0"/>
        </w:rPr>
        <w:t xml:space="preserve">art. 94, comma 1, lett. a</w:t>
      </w:r>
      <w:r w:rsidDel="00000000" w:rsidR="00000000" w:rsidRPr="00000000">
        <w:rPr>
          <w:sz w:val="22"/>
          <w:szCs w:val="22"/>
          <w:rtl w:val="0"/>
        </w:rPr>
        <w:t xml:space="preserve">); </w:t>
      </w:r>
    </w:p>
    <w:p w:rsidR="00000000" w:rsidDel="00000000" w:rsidP="00000000" w:rsidRDefault="00000000" w:rsidRPr="00000000" w14:paraId="0000001B">
      <w:pPr>
        <w:numPr>
          <w:ilvl w:val="0"/>
          <w:numId w:val="7"/>
        </w:numPr>
        <w:tabs>
          <w:tab w:val="left" w:leader="none" w:pos="-26476"/>
          <w:tab w:val="left" w:leader="none" w:pos="9638"/>
          <w:tab w:val="left" w:leader="none" w:pos="10076"/>
          <w:tab w:val="left" w:leader="none" w:pos="10992"/>
          <w:tab w:val="left" w:leader="none" w:pos="11908"/>
          <w:tab w:val="left" w:leader="none" w:pos="12824"/>
          <w:tab w:val="left" w:leader="none" w:pos="13740"/>
          <w:tab w:val="left" w:leader="none" w:pos="14656"/>
        </w:tabs>
        <w:ind w:left="851" w:hanging="425"/>
        <w:jc w:val="both"/>
        <w:rPr>
          <w:sz w:val="22"/>
          <w:szCs w:val="22"/>
        </w:rPr>
      </w:pPr>
      <w:r w:rsidDel="00000000" w:rsidR="00000000" w:rsidRPr="00000000">
        <w:rPr>
          <w:sz w:val="22"/>
          <w:szCs w:val="22"/>
          <w:rtl w:val="0"/>
        </w:rPr>
        <w:t xml:space="preserve">delitti, consumati o tentati, di cui agli articoli 317, 318, 319, 319-ter, 319-quater, 320, 321, 322, 322-bis, 346-bis, 353, 353-bis, 354, 355 e 356 del codice penale nonché all'articolo 2635 del codice civile (</w:t>
      </w:r>
      <w:r w:rsidDel="00000000" w:rsidR="00000000" w:rsidRPr="00000000">
        <w:rPr>
          <w:b w:val="1"/>
          <w:sz w:val="22"/>
          <w:szCs w:val="22"/>
          <w:rtl w:val="0"/>
        </w:rPr>
        <w:t xml:space="preserve">art. 94, comma 1, lett. b</w:t>
      </w:r>
      <w:r w:rsidDel="00000000" w:rsidR="00000000" w:rsidRPr="00000000">
        <w:rPr>
          <w:sz w:val="22"/>
          <w:szCs w:val="22"/>
          <w:rtl w:val="0"/>
        </w:rPr>
        <w:t xml:space="preserve">);</w:t>
      </w:r>
    </w:p>
    <w:p w:rsidR="00000000" w:rsidDel="00000000" w:rsidP="00000000" w:rsidRDefault="00000000" w:rsidRPr="00000000" w14:paraId="0000001C">
      <w:pPr>
        <w:numPr>
          <w:ilvl w:val="0"/>
          <w:numId w:val="7"/>
        </w:numPr>
        <w:tabs>
          <w:tab w:val="left" w:leader="none" w:pos="-26476"/>
          <w:tab w:val="left" w:leader="none" w:pos="9639"/>
          <w:tab w:val="left" w:leader="none" w:pos="10076"/>
          <w:tab w:val="left" w:leader="none" w:pos="10992"/>
          <w:tab w:val="left" w:leader="none" w:pos="11908"/>
          <w:tab w:val="left" w:leader="none" w:pos="12824"/>
          <w:tab w:val="left" w:leader="none" w:pos="13740"/>
          <w:tab w:val="left" w:leader="none" w:pos="14656"/>
        </w:tabs>
        <w:ind w:left="851" w:hanging="425"/>
        <w:jc w:val="both"/>
        <w:rPr>
          <w:sz w:val="22"/>
          <w:szCs w:val="22"/>
        </w:rPr>
      </w:pPr>
      <w:r w:rsidDel="00000000" w:rsidR="00000000" w:rsidRPr="00000000">
        <w:rPr>
          <w:sz w:val="22"/>
          <w:szCs w:val="22"/>
          <w:rtl w:val="0"/>
        </w:rPr>
        <w:t xml:space="preserve">false comunicazioni sociali di cui agli articoli 2621 e 2622 del codice civile (</w:t>
      </w:r>
      <w:r w:rsidDel="00000000" w:rsidR="00000000" w:rsidRPr="00000000">
        <w:rPr>
          <w:b w:val="1"/>
          <w:sz w:val="22"/>
          <w:szCs w:val="22"/>
          <w:rtl w:val="0"/>
        </w:rPr>
        <w:t xml:space="preserve">art. 94, comma 1, lett. c</w:t>
      </w:r>
      <w:r w:rsidDel="00000000" w:rsidR="00000000" w:rsidRPr="00000000">
        <w:rPr>
          <w:sz w:val="22"/>
          <w:szCs w:val="22"/>
          <w:rtl w:val="0"/>
        </w:rPr>
        <w:t xml:space="preserve">)</w:t>
      </w:r>
      <w:r w:rsidDel="00000000" w:rsidR="00000000" w:rsidRPr="00000000">
        <w:rPr>
          <w:i w:val="1"/>
          <w:sz w:val="22"/>
          <w:szCs w:val="22"/>
          <w:rtl w:val="0"/>
        </w:rPr>
        <w:t xml:space="preserve">;</w:t>
      </w:r>
      <w:r w:rsidDel="00000000" w:rsidR="00000000" w:rsidRPr="00000000">
        <w:rPr>
          <w:rtl w:val="0"/>
        </w:rPr>
      </w:r>
    </w:p>
    <w:p w:rsidR="00000000" w:rsidDel="00000000" w:rsidP="00000000" w:rsidRDefault="00000000" w:rsidRPr="00000000" w14:paraId="0000001D">
      <w:pPr>
        <w:numPr>
          <w:ilvl w:val="0"/>
          <w:numId w:val="7"/>
        </w:numPr>
        <w:tabs>
          <w:tab w:val="left" w:leader="none" w:pos="-26476"/>
          <w:tab w:val="left" w:leader="none" w:pos="9639"/>
          <w:tab w:val="left" w:leader="none" w:pos="10076"/>
          <w:tab w:val="left" w:leader="none" w:pos="10992"/>
          <w:tab w:val="left" w:leader="none" w:pos="11908"/>
          <w:tab w:val="left" w:leader="none" w:pos="12824"/>
          <w:tab w:val="left" w:leader="none" w:pos="13740"/>
          <w:tab w:val="left" w:leader="none" w:pos="14656"/>
        </w:tabs>
        <w:ind w:left="851" w:hanging="425"/>
        <w:jc w:val="both"/>
        <w:rPr>
          <w:sz w:val="22"/>
          <w:szCs w:val="22"/>
        </w:rPr>
      </w:pPr>
      <w:r w:rsidDel="00000000" w:rsidR="00000000" w:rsidRPr="00000000">
        <w:rPr>
          <w:sz w:val="22"/>
          <w:szCs w:val="22"/>
          <w:rtl w:val="0"/>
        </w:rPr>
        <w:t xml:space="preserve">frode ai sensi dell'articolo 1 della convenzione relativa alla tutela degli interessi finanziari delle Comunità europee, del 26 luglio 1995; (</w:t>
      </w:r>
      <w:r w:rsidDel="00000000" w:rsidR="00000000" w:rsidRPr="00000000">
        <w:rPr>
          <w:b w:val="1"/>
          <w:sz w:val="22"/>
          <w:szCs w:val="22"/>
          <w:rtl w:val="0"/>
        </w:rPr>
        <w:t xml:space="preserve">art. 94, comma 1, lett. d</w:t>
      </w:r>
      <w:r w:rsidDel="00000000" w:rsidR="00000000" w:rsidRPr="00000000">
        <w:rPr>
          <w:sz w:val="22"/>
          <w:szCs w:val="22"/>
          <w:rtl w:val="0"/>
        </w:rPr>
        <w:t xml:space="preserve">);</w:t>
      </w:r>
    </w:p>
    <w:p w:rsidR="00000000" w:rsidDel="00000000" w:rsidP="00000000" w:rsidRDefault="00000000" w:rsidRPr="00000000" w14:paraId="0000001E">
      <w:pPr>
        <w:numPr>
          <w:ilvl w:val="0"/>
          <w:numId w:val="7"/>
        </w:numPr>
        <w:tabs>
          <w:tab w:val="left" w:leader="none" w:pos="-26476"/>
          <w:tab w:val="left" w:leader="none" w:pos="9639"/>
          <w:tab w:val="left" w:leader="none" w:pos="10076"/>
          <w:tab w:val="left" w:leader="none" w:pos="10992"/>
          <w:tab w:val="left" w:leader="none" w:pos="11908"/>
          <w:tab w:val="left" w:leader="none" w:pos="12824"/>
          <w:tab w:val="left" w:leader="none" w:pos="13740"/>
          <w:tab w:val="left" w:leader="none" w:pos="14656"/>
        </w:tabs>
        <w:ind w:left="851" w:hanging="425"/>
        <w:jc w:val="both"/>
        <w:rPr>
          <w:sz w:val="22"/>
          <w:szCs w:val="22"/>
        </w:rPr>
      </w:pPr>
      <w:r w:rsidDel="00000000" w:rsidR="00000000" w:rsidRPr="00000000">
        <w:rPr>
          <w:sz w:val="22"/>
          <w:szCs w:val="22"/>
          <w:rtl w:val="0"/>
        </w:rPr>
        <w:t xml:space="preserve">delitti, consumati o tentati, commessi con finalità di terrorismo, anche internazionale, e di eversione dell'ordine costituzionale reati terroristici o reati connessi alle attività terroristiche (</w:t>
      </w:r>
      <w:r w:rsidDel="00000000" w:rsidR="00000000" w:rsidRPr="00000000">
        <w:rPr>
          <w:b w:val="1"/>
          <w:sz w:val="22"/>
          <w:szCs w:val="22"/>
          <w:rtl w:val="0"/>
        </w:rPr>
        <w:t xml:space="preserve">art. 94, comma 1, lett. e</w:t>
      </w:r>
      <w:r w:rsidDel="00000000" w:rsidR="00000000" w:rsidRPr="00000000">
        <w:rPr>
          <w:sz w:val="22"/>
          <w:szCs w:val="22"/>
          <w:rtl w:val="0"/>
        </w:rPr>
        <w:t xml:space="preserve">);</w:t>
      </w:r>
    </w:p>
    <w:p w:rsidR="00000000" w:rsidDel="00000000" w:rsidP="00000000" w:rsidRDefault="00000000" w:rsidRPr="00000000" w14:paraId="0000001F">
      <w:pPr>
        <w:numPr>
          <w:ilvl w:val="0"/>
          <w:numId w:val="7"/>
        </w:numPr>
        <w:tabs>
          <w:tab w:val="left" w:leader="none" w:pos="9639"/>
          <w:tab w:val="left" w:leader="none" w:pos="10076"/>
          <w:tab w:val="left" w:leader="none" w:pos="10992"/>
          <w:tab w:val="left" w:leader="none" w:pos="11908"/>
          <w:tab w:val="left" w:leader="none" w:pos="12824"/>
          <w:tab w:val="left" w:leader="none" w:pos="13740"/>
          <w:tab w:val="left" w:leader="none" w:pos="14656"/>
        </w:tabs>
        <w:ind w:left="851" w:hanging="425"/>
        <w:jc w:val="both"/>
        <w:rPr>
          <w:sz w:val="22"/>
          <w:szCs w:val="22"/>
        </w:rPr>
      </w:pPr>
      <w:r w:rsidDel="00000000" w:rsidR="00000000" w:rsidRPr="00000000">
        <w:rPr>
          <w:sz w:val="22"/>
          <w:szCs w:val="22"/>
          <w:rtl w:val="0"/>
        </w:rPr>
        <w:t xml:space="preserve">delitti di cui agli articoli 648-bis, 648-ter e 648-ter.1 del codice penale, riciclaggio di proventi di attività criminose o finanziamento del terrorismo, quali definiti all'articolo 1 del decreto legislativo 22 giugno 2007, n. 109; (</w:t>
      </w:r>
      <w:r w:rsidDel="00000000" w:rsidR="00000000" w:rsidRPr="00000000">
        <w:rPr>
          <w:b w:val="1"/>
          <w:sz w:val="22"/>
          <w:szCs w:val="22"/>
          <w:rtl w:val="0"/>
        </w:rPr>
        <w:t xml:space="preserve">art. 94, comma 1, lett. f</w:t>
      </w:r>
      <w:r w:rsidDel="00000000" w:rsidR="00000000" w:rsidRPr="00000000">
        <w:rPr>
          <w:sz w:val="22"/>
          <w:szCs w:val="22"/>
          <w:rtl w:val="0"/>
        </w:rPr>
        <w:t xml:space="preserve">);</w:t>
      </w:r>
    </w:p>
    <w:p w:rsidR="00000000" w:rsidDel="00000000" w:rsidP="00000000" w:rsidRDefault="00000000" w:rsidRPr="00000000" w14:paraId="00000020">
      <w:pPr>
        <w:numPr>
          <w:ilvl w:val="0"/>
          <w:numId w:val="7"/>
        </w:numPr>
        <w:tabs>
          <w:tab w:val="left" w:leader="none" w:pos="-26476"/>
          <w:tab w:val="left" w:leader="none" w:pos="9639"/>
          <w:tab w:val="left" w:leader="none" w:pos="10076"/>
          <w:tab w:val="left" w:leader="none" w:pos="10992"/>
          <w:tab w:val="left" w:leader="none" w:pos="11908"/>
          <w:tab w:val="left" w:leader="none" w:pos="12824"/>
          <w:tab w:val="left" w:leader="none" w:pos="13740"/>
          <w:tab w:val="left" w:leader="none" w:pos="14656"/>
        </w:tabs>
        <w:ind w:left="851" w:hanging="425"/>
        <w:jc w:val="both"/>
        <w:rPr>
          <w:sz w:val="22"/>
          <w:szCs w:val="22"/>
        </w:rPr>
      </w:pPr>
      <w:r w:rsidDel="00000000" w:rsidR="00000000" w:rsidRPr="00000000">
        <w:rPr>
          <w:sz w:val="22"/>
          <w:szCs w:val="22"/>
          <w:rtl w:val="0"/>
        </w:rPr>
        <w:t xml:space="preserve">sfruttamento del lavoro minorile e altre forme di tratta di esseri umani definite con il decreto legislativo 4 marzo 2014, n. 24; (</w:t>
      </w:r>
      <w:r w:rsidDel="00000000" w:rsidR="00000000" w:rsidRPr="00000000">
        <w:rPr>
          <w:b w:val="1"/>
          <w:sz w:val="22"/>
          <w:szCs w:val="22"/>
          <w:rtl w:val="0"/>
        </w:rPr>
        <w:t xml:space="preserve">art. 94, comma 1, lett. g</w:t>
      </w:r>
      <w:r w:rsidDel="00000000" w:rsidR="00000000" w:rsidRPr="00000000">
        <w:rPr>
          <w:sz w:val="22"/>
          <w:szCs w:val="22"/>
          <w:rtl w:val="0"/>
        </w:rPr>
        <w:t xml:space="preserve">);</w:t>
      </w:r>
    </w:p>
    <w:p w:rsidR="00000000" w:rsidDel="00000000" w:rsidP="00000000" w:rsidRDefault="00000000" w:rsidRPr="00000000" w14:paraId="00000021">
      <w:pPr>
        <w:numPr>
          <w:ilvl w:val="0"/>
          <w:numId w:val="7"/>
        </w:numPr>
        <w:tabs>
          <w:tab w:val="left" w:leader="none" w:pos="-26476"/>
          <w:tab w:val="left" w:leader="none" w:pos="9639"/>
          <w:tab w:val="left" w:leader="none" w:pos="10076"/>
          <w:tab w:val="left" w:leader="none" w:pos="10992"/>
          <w:tab w:val="left" w:leader="none" w:pos="11908"/>
          <w:tab w:val="left" w:leader="none" w:pos="12824"/>
          <w:tab w:val="left" w:leader="none" w:pos="13740"/>
          <w:tab w:val="left" w:leader="none" w:pos="14656"/>
        </w:tabs>
        <w:ind w:left="851" w:hanging="425"/>
        <w:jc w:val="both"/>
        <w:rPr>
          <w:sz w:val="22"/>
          <w:szCs w:val="22"/>
        </w:rPr>
      </w:pPr>
      <w:r w:rsidDel="00000000" w:rsidR="00000000" w:rsidRPr="00000000">
        <w:rPr>
          <w:sz w:val="22"/>
          <w:szCs w:val="22"/>
          <w:rtl w:val="0"/>
        </w:rPr>
        <w:t xml:space="preserve">ogni altro delitto da cui derivi, quale pena accessoria, l'incapacità di contrattare con la pubblica amministrazione (</w:t>
      </w:r>
      <w:r w:rsidDel="00000000" w:rsidR="00000000" w:rsidRPr="00000000">
        <w:rPr>
          <w:b w:val="1"/>
          <w:sz w:val="22"/>
          <w:szCs w:val="22"/>
          <w:rtl w:val="0"/>
        </w:rPr>
        <w:t xml:space="preserve">art.94, comma 1, lett.h)</w:t>
      </w:r>
      <w:r w:rsidDel="00000000" w:rsidR="00000000" w:rsidRPr="00000000">
        <w:rPr>
          <w:rtl w:val="0"/>
        </w:rPr>
      </w:r>
    </w:p>
    <w:p w:rsidR="00000000" w:rsidDel="00000000" w:rsidP="00000000" w:rsidRDefault="00000000" w:rsidRPr="00000000" w14:paraId="00000022">
      <w:pPr>
        <w:rPr>
          <w:sz w:val="22"/>
          <w:szCs w:val="22"/>
        </w:rPr>
      </w:pPr>
      <w:r w:rsidDel="00000000" w:rsidR="00000000" w:rsidRPr="00000000">
        <w:rPr>
          <w:rtl w:val="0"/>
        </w:rPr>
      </w:r>
    </w:p>
    <w:p w:rsidR="00000000" w:rsidDel="00000000" w:rsidP="00000000" w:rsidRDefault="00000000" w:rsidRPr="00000000" w14:paraId="00000023">
      <w:pPr>
        <w:tabs>
          <w:tab w:val="left" w:leader="none" w:pos="9639"/>
          <w:tab w:val="left" w:leader="none" w:pos="10076"/>
          <w:tab w:val="left" w:leader="none" w:pos="10992"/>
          <w:tab w:val="left" w:leader="none" w:pos="11908"/>
          <w:tab w:val="left" w:leader="none" w:pos="12824"/>
          <w:tab w:val="left" w:leader="none" w:pos="13740"/>
          <w:tab w:val="left" w:leader="none" w:pos="14656"/>
        </w:tabs>
        <w:jc w:val="both"/>
        <w:rPr>
          <w:sz w:val="22"/>
          <w:szCs w:val="22"/>
        </w:rPr>
      </w:pPr>
      <w:r w:rsidDel="00000000" w:rsidR="00000000" w:rsidRPr="00000000">
        <w:rPr>
          <w:sz w:val="22"/>
          <w:szCs w:val="22"/>
          <w:rtl w:val="0"/>
        </w:rPr>
        <w:t xml:space="preserve">□ </w:t>
      </w:r>
      <w:r w:rsidDel="00000000" w:rsidR="00000000" w:rsidRPr="00000000">
        <w:rPr>
          <w:b w:val="1"/>
          <w:sz w:val="22"/>
          <w:szCs w:val="22"/>
          <w:rtl w:val="0"/>
        </w:rPr>
        <w:t xml:space="preserve">2)</w:t>
      </w:r>
      <w:r w:rsidDel="00000000" w:rsidR="00000000" w:rsidRPr="00000000">
        <w:rPr>
          <w:sz w:val="22"/>
          <w:szCs w:val="22"/>
          <w:rtl w:val="0"/>
        </w:rPr>
        <w:t xml:space="preserve"> che non sussistono cause di decadenza, di sospensione o di divieto previste dall'articolo 67 del codice delle leggi antimafia e delle misure di prevenzione, di cui al decreto legislativo 6 settembre 2011, n. 159 o di un tentativo di infiltrazione mafiosa di cui all'articolo 84, comma 4, del medesimo codice</w:t>
      </w:r>
      <w:r w:rsidDel="00000000" w:rsidR="00000000" w:rsidRPr="00000000">
        <w:rPr>
          <w:sz w:val="22"/>
          <w:szCs w:val="22"/>
          <w:vertAlign w:val="superscript"/>
        </w:rPr>
        <w:footnoteReference w:customMarkFollows="0" w:id="0"/>
      </w:r>
      <w:r w:rsidDel="00000000" w:rsidR="00000000" w:rsidRPr="00000000">
        <w:rPr>
          <w:sz w:val="22"/>
          <w:szCs w:val="22"/>
          <w:rtl w:val="0"/>
        </w:rPr>
        <w:t xml:space="preserve">. (</w:t>
      </w:r>
      <w:r w:rsidDel="00000000" w:rsidR="00000000" w:rsidRPr="00000000">
        <w:rPr>
          <w:b w:val="1"/>
          <w:sz w:val="22"/>
          <w:szCs w:val="22"/>
          <w:rtl w:val="0"/>
        </w:rPr>
        <w:t xml:space="preserve">art. 94, comma 2</w:t>
      </w:r>
      <w:r w:rsidDel="00000000" w:rsidR="00000000" w:rsidRPr="00000000">
        <w:rPr>
          <w:sz w:val="22"/>
          <w:szCs w:val="22"/>
          <w:rtl w:val="0"/>
        </w:rPr>
        <w:t xml:space="preserve">);</w:t>
      </w:r>
    </w:p>
    <w:p w:rsidR="00000000" w:rsidDel="00000000" w:rsidP="00000000" w:rsidRDefault="00000000" w:rsidRPr="00000000" w14:paraId="00000024">
      <w:pPr>
        <w:tabs>
          <w:tab w:val="left" w:leader="none" w:pos="9639"/>
          <w:tab w:val="left" w:leader="none" w:pos="10076"/>
          <w:tab w:val="left" w:leader="none" w:pos="10992"/>
          <w:tab w:val="left" w:leader="none" w:pos="11908"/>
          <w:tab w:val="left" w:leader="none" w:pos="12824"/>
          <w:tab w:val="left" w:leader="none" w:pos="13740"/>
          <w:tab w:val="left" w:leader="none" w:pos="14656"/>
        </w:tabs>
        <w:jc w:val="both"/>
        <w:rPr>
          <w:sz w:val="22"/>
          <w:szCs w:val="22"/>
        </w:rPr>
      </w:pPr>
      <w:r w:rsidDel="00000000" w:rsidR="00000000" w:rsidRPr="00000000">
        <w:rPr>
          <w:rtl w:val="0"/>
        </w:rPr>
      </w:r>
    </w:p>
    <w:p w:rsidR="00000000" w:rsidDel="00000000" w:rsidP="00000000" w:rsidRDefault="00000000" w:rsidRPr="00000000" w14:paraId="00000025">
      <w:pPr>
        <w:tabs>
          <w:tab w:val="left" w:leader="none" w:pos="9639"/>
          <w:tab w:val="left" w:leader="none" w:pos="10076"/>
          <w:tab w:val="left" w:leader="none" w:pos="10992"/>
          <w:tab w:val="left" w:leader="none" w:pos="11908"/>
          <w:tab w:val="left" w:leader="none" w:pos="12824"/>
          <w:tab w:val="left" w:leader="none" w:pos="13740"/>
          <w:tab w:val="left" w:leader="none" w:pos="14656"/>
        </w:tabs>
        <w:jc w:val="both"/>
        <w:rPr>
          <w:sz w:val="22"/>
          <w:szCs w:val="22"/>
        </w:rPr>
      </w:pPr>
      <w:r w:rsidDel="00000000" w:rsidR="00000000" w:rsidRPr="00000000">
        <w:rPr>
          <w:sz w:val="22"/>
          <w:szCs w:val="22"/>
          <w:rtl w:val="0"/>
        </w:rPr>
        <w:t xml:space="preserve">□ </w:t>
      </w:r>
      <w:r w:rsidDel="00000000" w:rsidR="00000000" w:rsidRPr="00000000">
        <w:rPr>
          <w:b w:val="1"/>
          <w:sz w:val="22"/>
          <w:szCs w:val="22"/>
          <w:rtl w:val="0"/>
        </w:rPr>
        <w:t xml:space="preserve">3)</w:t>
      </w:r>
      <w:r w:rsidDel="00000000" w:rsidR="00000000" w:rsidRPr="00000000">
        <w:rPr>
          <w:sz w:val="22"/>
          <w:szCs w:val="22"/>
          <w:rtl w:val="0"/>
        </w:rPr>
        <w:t xml:space="preserve"> </w:t>
      </w:r>
    </w:p>
    <w:p w:rsidR="00000000" w:rsidDel="00000000" w:rsidP="00000000" w:rsidRDefault="00000000" w:rsidRPr="00000000" w14:paraId="00000026">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tabs>
          <w:tab w:val="left" w:leader="none" w:pos="9639"/>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850" w:right="0" w:hanging="425"/>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che non è stato destinatario della sanzione interdittiva di cui all'articolo 9, comma 2, lettera c), del decreto legislativo 8 giugno 2001, n. 231, o di altra sanzione che comporta il divieto di contrarre con la pubblica amministrazione, compresi i provvedimenti interdittivi di cui all'articolo 14 del decreto legislativo 9 aprile 2008, n. 81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art.94, comma 5, lett.a</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2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tabs>
          <w:tab w:val="left" w:leader="none" w:pos="9639"/>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850" w:right="0" w:hanging="425"/>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che ha presentato la certificazione di cui all'articolo 17 della legge 12 marzo 1999, n. 68, ovvero che ha presentato dichiarazione sostitutiva della sussistenza del medesimo requisito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art.94, comma 5, lett.b</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1"/>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28">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tabs>
          <w:tab w:val="left" w:leader="none" w:pos="9639"/>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850" w:right="0" w:hanging="425"/>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che non è stato sottoposto a liquidazione giudiziale o si trovi in stato di liquidazione coatta o di concordato preventivo o nei cui confronti sia in corso un procedimento per l’accesso a una di tali procedure, fermo restando quanto previsto dall’articolo 95 del codice della crisi di impresa e dell'insolvenza, di cui al decreto legislativo 12 gennaio 2019, n. 14, dall’articolo 186-bis, comma 5, del regio decreto 16 marzo 1942, n. 267 e dall'articolo 124 del presente codice. L’esclusione non opera se, entro la data dell’aggiudicazione, sono stati adottati i provvedimenti di cui all’articolo 186-bis, comma 5, del regio decreto 16 marzo 1942, n. 267 e all’articolo 95, commi 3 e 4, del codice di cui al decreto legislativo n. 14 del 2019, a meno che non intervengano ulteriori circostanze escludenti relative alle procedure concorsuali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art.94, comma 5, lett.d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29">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tabs>
          <w:tab w:val="left" w:leader="none" w:pos="9639"/>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850" w:right="0" w:hanging="425"/>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che non è stato iscritto nel casellario informatico tenuto dall'ANAC per aver presentato false dichiarazioni o falsa documentazione nelle procedure di gara e negli affidamenti di subappalti; la causa di esclusione perdura fino a quando opera l'iscrizione nel casellario informatico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art.94, comma 5, lett.e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2A">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tabs>
          <w:tab w:val="left" w:leader="none" w:pos="9639"/>
          <w:tab w:val="left" w:leader="none" w:pos="10076"/>
          <w:tab w:val="left" w:leader="none" w:pos="10992"/>
          <w:tab w:val="left" w:leader="none" w:pos="11908"/>
          <w:tab w:val="left" w:leader="none" w:pos="12824"/>
          <w:tab w:val="left" w:leader="none" w:pos="13740"/>
          <w:tab w:val="left" w:leader="none" w:pos="14656"/>
        </w:tabs>
        <w:spacing w:after="200" w:before="0" w:line="276" w:lineRule="auto"/>
        <w:ind w:left="851" w:right="0" w:hanging="425"/>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solo per lavori pubblici)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che non è stato iscritto nel casellario informatico tenuto dall'ANAC per aver presentato false dichiarazioni o falsa documentazione ai fini del rilascio dell'attestazione di qualificazione, per il periodo durante il quale perdura l'iscrizione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art.94, comma 5, lett.f</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2B">
      <w:pPr>
        <w:tabs>
          <w:tab w:val="left" w:leader="none" w:pos="9639"/>
          <w:tab w:val="left" w:leader="none" w:pos="10076"/>
          <w:tab w:val="left" w:leader="none" w:pos="10992"/>
          <w:tab w:val="left" w:leader="none" w:pos="11908"/>
          <w:tab w:val="left" w:leader="none" w:pos="12824"/>
          <w:tab w:val="left" w:leader="none" w:pos="13740"/>
          <w:tab w:val="left" w:leader="none" w:pos="14656"/>
        </w:tabs>
        <w:jc w:val="both"/>
        <w:rPr>
          <w:sz w:val="22"/>
          <w:szCs w:val="22"/>
        </w:rPr>
      </w:pPr>
      <w:r w:rsidDel="00000000" w:rsidR="00000000" w:rsidRPr="00000000">
        <w:rPr>
          <w:b w:val="1"/>
          <w:sz w:val="22"/>
          <w:szCs w:val="22"/>
          <w:rtl w:val="0"/>
        </w:rPr>
        <w:t xml:space="preserve">3)</w:t>
      </w:r>
      <w:r w:rsidDel="00000000" w:rsidR="00000000" w:rsidRPr="00000000">
        <w:rPr>
          <w:sz w:val="22"/>
          <w:szCs w:val="22"/>
          <w:rtl w:val="0"/>
        </w:rPr>
        <w:t xml:space="preserve"> che non ha commesso violazioni gravi, definitivamente accertate, degli obblighi relativi al pagamento delle imposte e tasse o dei contributi previdenziali, secondo la legislazione italiana o quella dello Stato in cui sono stabiliti</w:t>
      </w:r>
      <w:r w:rsidDel="00000000" w:rsidR="00000000" w:rsidRPr="00000000">
        <w:rPr>
          <w:sz w:val="22"/>
          <w:szCs w:val="22"/>
          <w:vertAlign w:val="superscript"/>
        </w:rPr>
        <w:footnoteReference w:customMarkFollows="0" w:id="2"/>
      </w:r>
      <w:r w:rsidDel="00000000" w:rsidR="00000000" w:rsidRPr="00000000">
        <w:rPr>
          <w:sz w:val="22"/>
          <w:szCs w:val="22"/>
          <w:rtl w:val="0"/>
        </w:rPr>
        <w:t xml:space="preserve">(</w:t>
      </w:r>
      <w:r w:rsidDel="00000000" w:rsidR="00000000" w:rsidRPr="00000000">
        <w:rPr>
          <w:b w:val="1"/>
          <w:sz w:val="22"/>
          <w:szCs w:val="22"/>
          <w:rtl w:val="0"/>
        </w:rPr>
        <w:t xml:space="preserve">art. 94, comma 6</w:t>
      </w:r>
      <w:r w:rsidDel="00000000" w:rsidR="00000000" w:rsidRPr="00000000">
        <w:rPr>
          <w:sz w:val="22"/>
          <w:szCs w:val="22"/>
          <w:rtl w:val="0"/>
        </w:rPr>
        <w:t xml:space="preserve">);</w:t>
      </w:r>
    </w:p>
    <w:p w:rsidR="00000000" w:rsidDel="00000000" w:rsidP="00000000" w:rsidRDefault="00000000" w:rsidRPr="00000000" w14:paraId="0000002C">
      <w:pPr>
        <w:tabs>
          <w:tab w:val="left" w:leader="none" w:pos="9639"/>
          <w:tab w:val="left" w:leader="none" w:pos="10076"/>
          <w:tab w:val="left" w:leader="none" w:pos="10992"/>
          <w:tab w:val="left" w:leader="none" w:pos="11908"/>
          <w:tab w:val="left" w:leader="none" w:pos="12824"/>
          <w:tab w:val="left" w:leader="none" w:pos="13740"/>
          <w:tab w:val="left" w:leader="none" w:pos="14656"/>
        </w:tabs>
        <w:jc w:val="both"/>
        <w:rPr>
          <w:sz w:val="22"/>
          <w:szCs w:val="22"/>
        </w:rPr>
      </w:pPr>
      <w:r w:rsidDel="00000000" w:rsidR="00000000" w:rsidRPr="00000000">
        <w:rPr>
          <w:rtl w:val="0"/>
        </w:rPr>
      </w:r>
    </w:p>
    <w:p w:rsidR="00000000" w:rsidDel="00000000" w:rsidP="00000000" w:rsidRDefault="00000000" w:rsidRPr="00000000" w14:paraId="0000002D">
      <w:pPr>
        <w:tabs>
          <w:tab w:val="left" w:leader="none" w:pos="9639"/>
          <w:tab w:val="left" w:leader="none" w:pos="10076"/>
          <w:tab w:val="left" w:leader="none" w:pos="10992"/>
          <w:tab w:val="left" w:leader="none" w:pos="11908"/>
          <w:tab w:val="left" w:leader="none" w:pos="12824"/>
          <w:tab w:val="left" w:leader="none" w:pos="13740"/>
          <w:tab w:val="left" w:leader="none" w:pos="14656"/>
        </w:tabs>
        <w:jc w:val="both"/>
        <w:rPr>
          <w:sz w:val="22"/>
          <w:szCs w:val="22"/>
        </w:rPr>
      </w:pPr>
      <w:r w:rsidDel="00000000" w:rsidR="00000000" w:rsidRPr="00000000">
        <w:rPr>
          <w:b w:val="1"/>
          <w:sz w:val="22"/>
          <w:szCs w:val="22"/>
          <w:rtl w:val="0"/>
        </w:rPr>
        <w:t xml:space="preserve">Il sottoscritto dichiara, altresì, sempre ai sensi dell’art.76 del D.P.R. n. 445/2000 </w:t>
      </w:r>
      <w:r w:rsidDel="00000000" w:rsidR="00000000" w:rsidRPr="00000000">
        <w:rPr>
          <w:b w:val="1"/>
          <w:sz w:val="22"/>
          <w:szCs w:val="22"/>
          <w:u w:val="single"/>
          <w:rtl w:val="0"/>
        </w:rPr>
        <w:t xml:space="preserve">di non trovarsi in alcuna delle cause  di esclusione di cui all’art. 95 del D. Lgs. 36/2023 intitolato “Cause di esclusione NON automatica” ed in particolare (barrare con “X”):</w:t>
      </w:r>
      <w:r w:rsidDel="00000000" w:rsidR="00000000" w:rsidRPr="00000000">
        <w:rPr>
          <w:rtl w:val="0"/>
        </w:rPr>
      </w:r>
    </w:p>
    <w:p w:rsidR="00000000" w:rsidDel="00000000" w:rsidP="00000000" w:rsidRDefault="00000000" w:rsidRPr="00000000" w14:paraId="0000002E">
      <w:pPr>
        <w:tabs>
          <w:tab w:val="left" w:leader="none" w:pos="9639"/>
          <w:tab w:val="left" w:leader="none" w:pos="10076"/>
          <w:tab w:val="left" w:leader="none" w:pos="10992"/>
          <w:tab w:val="left" w:leader="none" w:pos="11908"/>
          <w:tab w:val="left" w:leader="none" w:pos="12824"/>
          <w:tab w:val="left" w:leader="none" w:pos="13740"/>
          <w:tab w:val="left" w:leader="none" w:pos="14656"/>
        </w:tabs>
        <w:jc w:val="both"/>
        <w:rPr>
          <w:sz w:val="22"/>
          <w:szCs w:val="22"/>
        </w:rPr>
      </w:pPr>
      <w:r w:rsidDel="00000000" w:rsidR="00000000" w:rsidRPr="00000000">
        <w:rPr>
          <w:rtl w:val="0"/>
        </w:rPr>
      </w:r>
    </w:p>
    <w:p w:rsidR="00000000" w:rsidDel="00000000" w:rsidP="00000000" w:rsidRDefault="00000000" w:rsidRPr="00000000" w14:paraId="0000002F">
      <w:pPr>
        <w:tabs>
          <w:tab w:val="left" w:leader="none" w:pos="9639"/>
          <w:tab w:val="left" w:leader="none" w:pos="10076"/>
          <w:tab w:val="left" w:leader="none" w:pos="10992"/>
          <w:tab w:val="left" w:leader="none" w:pos="11908"/>
          <w:tab w:val="left" w:leader="none" w:pos="12824"/>
          <w:tab w:val="left" w:leader="none" w:pos="13740"/>
          <w:tab w:val="left" w:leader="none" w:pos="14656"/>
        </w:tabs>
        <w:jc w:val="both"/>
        <w:rPr>
          <w:b w:val="1"/>
          <w:sz w:val="22"/>
          <w:szCs w:val="22"/>
        </w:rPr>
      </w:pPr>
      <w:r w:rsidDel="00000000" w:rsidR="00000000" w:rsidRPr="00000000">
        <w:rPr>
          <w:b w:val="1"/>
          <w:sz w:val="22"/>
          <w:szCs w:val="22"/>
          <w:rtl w:val="0"/>
        </w:rPr>
        <w:t xml:space="preserve">□ 1) </w:t>
      </w:r>
    </w:p>
    <w:p w:rsidR="00000000" w:rsidDel="00000000" w:rsidP="00000000" w:rsidRDefault="00000000" w:rsidRPr="00000000" w14:paraId="0000003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9639"/>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714" w:right="0" w:hanging="357"/>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che non sussistono gravi infrazioni, debitamente accertate con qualunque mezzo adeguato, alle norme in materia di salute e di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 febbraio 2014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 95, comma 1, lett.a</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31">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9639"/>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714" w:right="0" w:hanging="357"/>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che la partecipazione alla procedura di affidamento /gara di cui trattasi non ha determinato una situazione di conflitto di interesse di cui all’articolo 16 non diversamente risolvibile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 95, comma 1, lett.b</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32">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9639"/>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714" w:right="0" w:hanging="357"/>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che non sussiste una distorsione della concorrenza non essendo stato coinvolto nella preparazione della procedura d'appalto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 95, comma 1, lett.c</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3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9639"/>
          <w:tab w:val="left" w:leader="none" w:pos="10076"/>
          <w:tab w:val="left" w:leader="none" w:pos="10992"/>
          <w:tab w:val="left" w:leader="none" w:pos="11908"/>
          <w:tab w:val="left" w:leader="none" w:pos="12824"/>
          <w:tab w:val="left" w:leader="none" w:pos="13740"/>
          <w:tab w:val="left" w:leader="none" w:pos="14656"/>
        </w:tabs>
        <w:spacing w:after="0" w:before="0" w:line="276" w:lineRule="auto"/>
        <w:ind w:left="714" w:right="0" w:hanging="357"/>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che l’offerta presentata non è imputabile ad un unico centro decisionale a cagione di accordi intercorsi con altri operatori economici partecipanti alla stessa gara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art.95, comma 1, lett.d</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34">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tabs>
          <w:tab w:val="left" w:leader="none" w:pos="9639"/>
          <w:tab w:val="left" w:leader="none" w:pos="10076"/>
          <w:tab w:val="left" w:leader="none" w:pos="10992"/>
          <w:tab w:val="left" w:leader="none" w:pos="11908"/>
          <w:tab w:val="left" w:leader="none" w:pos="12824"/>
          <w:tab w:val="left" w:leader="none" w:pos="13740"/>
          <w:tab w:val="left" w:leader="none" w:pos="14656"/>
        </w:tabs>
        <w:spacing w:after="200" w:before="0" w:line="276" w:lineRule="auto"/>
        <w:ind w:left="720" w:right="0" w:hanging="36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che non ha commesso un illecito professionale grave, tale da rendere dubbia la sua integrità o affidabilità, dimostrato dalla stazione appaltante con mezzi adeguati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art. 95, comma 1, lett. 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35">
      <w:pPr>
        <w:tabs>
          <w:tab w:val="left" w:leader="none" w:pos="9639"/>
          <w:tab w:val="left" w:leader="none" w:pos="10076"/>
          <w:tab w:val="left" w:leader="none" w:pos="10992"/>
          <w:tab w:val="left" w:leader="none" w:pos="11908"/>
          <w:tab w:val="left" w:leader="none" w:pos="12824"/>
          <w:tab w:val="left" w:leader="none" w:pos="13740"/>
          <w:tab w:val="left" w:leader="none" w:pos="14656"/>
        </w:tabs>
        <w:jc w:val="both"/>
        <w:rPr>
          <w:sz w:val="22"/>
          <w:szCs w:val="22"/>
        </w:rPr>
      </w:pPr>
      <w:r w:rsidDel="00000000" w:rsidR="00000000" w:rsidRPr="00000000">
        <w:rPr>
          <w:b w:val="1"/>
          <w:sz w:val="22"/>
          <w:szCs w:val="22"/>
          <w:rtl w:val="0"/>
        </w:rPr>
        <w:t xml:space="preserve">□ 2)</w:t>
      </w:r>
      <w:r w:rsidDel="00000000" w:rsidR="00000000" w:rsidRPr="00000000">
        <w:rPr>
          <w:sz w:val="22"/>
          <w:szCs w:val="22"/>
          <w:rtl w:val="0"/>
        </w:rPr>
        <w:t xml:space="preserve"> che non ha compiuto un illecito professionale grave secondo quanto previsto dall’art.98 del D. Lgs. 36/2023</w:t>
      </w:r>
      <w:r w:rsidDel="00000000" w:rsidR="00000000" w:rsidRPr="00000000">
        <w:rPr>
          <w:sz w:val="22"/>
          <w:szCs w:val="22"/>
          <w:vertAlign w:val="superscript"/>
        </w:rPr>
        <w:footnoteReference w:customMarkFollows="0" w:id="3"/>
      </w:r>
      <w:r w:rsidDel="00000000" w:rsidR="00000000" w:rsidRPr="00000000">
        <w:rPr>
          <w:sz w:val="22"/>
          <w:szCs w:val="22"/>
          <w:rtl w:val="0"/>
        </w:rPr>
        <w:t xml:space="preserve">. </w:t>
      </w:r>
    </w:p>
    <w:p w:rsidR="00000000" w:rsidDel="00000000" w:rsidP="00000000" w:rsidRDefault="00000000" w:rsidRPr="00000000" w14:paraId="00000036">
      <w:pPr>
        <w:tabs>
          <w:tab w:val="left" w:leader="none" w:pos="9639"/>
          <w:tab w:val="left" w:leader="none" w:pos="10076"/>
          <w:tab w:val="left" w:leader="none" w:pos="10992"/>
          <w:tab w:val="left" w:leader="none" w:pos="11908"/>
          <w:tab w:val="left" w:leader="none" w:pos="12824"/>
          <w:tab w:val="left" w:leader="none" w:pos="13740"/>
          <w:tab w:val="left" w:leader="none" w:pos="14656"/>
        </w:tabs>
        <w:jc w:val="center"/>
        <w:rPr>
          <w:b w:val="1"/>
          <w:sz w:val="22"/>
          <w:szCs w:val="22"/>
        </w:rPr>
      </w:pPr>
      <w:r w:rsidDel="00000000" w:rsidR="00000000" w:rsidRPr="00000000">
        <w:rPr>
          <w:b w:val="1"/>
          <w:sz w:val="22"/>
          <w:szCs w:val="22"/>
          <w:rtl w:val="0"/>
        </w:rPr>
        <w:t xml:space="preserve">DICHIARA</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ffffff" w:val="clea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before="0" w:line="24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di essere in possesso dei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REQUISITI DI ORDINE SPECIALE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(idoneità professionale, capacità economica e finanziaria e capacità tecniche e professionali) previsti dall’articolo 100 del D.Lgs. 36/2023</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4"/>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ovvero, di essere iscritto nel registro della camera di commercio, industria, artigianato e agricoltura o nel registro delle commissioni provinciali per l'artigianato o presso i competenti ordini professionali per un'attività pertinente anche se non coincidente con l'oggetto dell'appalto. Segnatamente dichiara che:</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L'Impresa è iscritta, per attività inerenti l’oggetto della fornitura, al Registro delle Imprese </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567"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presso la CCIAA di ___________________________________________________ al </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567"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n.______________________________________________ </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Gli amministratori muniti di rappresentanza sono (indicare Nome, Cognome e codice fiscale):</w:t>
      </w:r>
    </w:p>
    <w:p w:rsidR="00000000" w:rsidDel="00000000" w:rsidP="00000000" w:rsidRDefault="00000000" w:rsidRPr="00000000" w14:paraId="0000003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_____________________________________________</w:t>
      </w:r>
    </w:p>
    <w:p w:rsidR="00000000" w:rsidDel="00000000" w:rsidP="00000000" w:rsidRDefault="00000000" w:rsidRPr="00000000" w14:paraId="0000003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_____________________________________________ </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L’Impresa ha n. ______________ dipendenti afferenti le seguenti posizioni: </w:t>
      </w:r>
    </w:p>
    <w:p w:rsidR="00000000" w:rsidDel="00000000" w:rsidP="00000000" w:rsidRDefault="00000000" w:rsidRPr="00000000" w14:paraId="00000042">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Iscrizione INPS matricola n. _________________________ sede competente ___________________________________________ </w:t>
      </w:r>
    </w:p>
    <w:p w:rsidR="00000000" w:rsidDel="00000000" w:rsidP="00000000" w:rsidRDefault="00000000" w:rsidRPr="00000000" w14:paraId="0000004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Iscrizione INAIL codice n. ______________________________</w:t>
      </w:r>
    </w:p>
    <w:p w:rsidR="00000000" w:rsidDel="00000000" w:rsidP="00000000" w:rsidRDefault="00000000" w:rsidRPr="00000000" w14:paraId="0000004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360" w:lineRule="auto"/>
        <w:ind w:left="567"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Iscrizione Cassa Edile __________________________________</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284" w:right="0" w:hanging="284"/>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di essere in regola alla data del ___________________________ con i versamenti INPS e INAIL;</w:t>
      </w:r>
    </w:p>
    <w:p w:rsidR="00000000" w:rsidDel="00000000" w:rsidP="00000000" w:rsidRDefault="00000000" w:rsidRPr="00000000" w14:paraId="0000004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che non esistono inadempienze in atto e rettifiche notificate, non contestate o non pagate ovvero, che è stata conseguita procedura di sanatoria, positivamente definita con atto dell'ente interessato del quale si forniscono gli estremi:_____________________________________.</w:t>
      </w:r>
    </w:p>
    <w:p w:rsidR="00000000" w:rsidDel="00000000" w:rsidP="00000000" w:rsidRDefault="00000000" w:rsidRPr="00000000" w14:paraId="0000004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36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di non avere alle proprie dipendenze, ai sensi dell’art. 53 c. 16 ter del d.lgs. n. 165/2001, personale cessato dal rapporto di pubblico impiego da meno di tre anni, che abbia esercitato poteri autoritativi o negoziali per conto delle pubbliche amministrazioni;</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A">
      <w:pPr>
        <w:spacing w:line="360" w:lineRule="auto"/>
        <w:jc w:val="center"/>
        <w:rPr>
          <w:sz w:val="22"/>
          <w:szCs w:val="22"/>
        </w:rPr>
      </w:pPr>
      <w:r w:rsidDel="00000000" w:rsidR="00000000" w:rsidRPr="00000000">
        <w:rPr>
          <w:b w:val="1"/>
          <w:sz w:val="22"/>
          <w:szCs w:val="22"/>
          <w:rtl w:val="0"/>
        </w:rPr>
        <w:t xml:space="preserve">COMUNICA</w:t>
      </w:r>
      <w:r w:rsidDel="00000000" w:rsidR="00000000" w:rsidRPr="00000000">
        <w:rPr>
          <w:rtl w:val="0"/>
        </w:rPr>
      </w:r>
    </w:p>
    <w:p w:rsidR="00000000" w:rsidDel="00000000" w:rsidP="00000000" w:rsidRDefault="00000000" w:rsidRPr="00000000" w14:paraId="0000004B">
      <w:pPr>
        <w:numPr>
          <w:ilvl w:val="0"/>
          <w:numId w:val="5"/>
        </w:numPr>
        <w:spacing w:after="160" w:line="360" w:lineRule="auto"/>
        <w:ind w:left="284" w:hanging="284"/>
        <w:rPr>
          <w:sz w:val="22"/>
          <w:szCs w:val="22"/>
        </w:rPr>
      </w:pPr>
      <w:r w:rsidDel="00000000" w:rsidR="00000000" w:rsidRPr="00000000">
        <w:rPr>
          <w:sz w:val="22"/>
          <w:szCs w:val="22"/>
          <w:rtl w:val="0"/>
        </w:rPr>
        <w:t xml:space="preserve">in attuazione dell’art. 3, comma 7, della L. 136/2010 e ss.mm.ii.:</w:t>
      </w:r>
    </w:p>
    <w:p w:rsidR="00000000" w:rsidDel="00000000" w:rsidP="00000000" w:rsidRDefault="00000000" w:rsidRPr="00000000" w14:paraId="0000004C">
      <w:pPr>
        <w:numPr>
          <w:ilvl w:val="0"/>
          <w:numId w:val="3"/>
        </w:numPr>
        <w:spacing w:line="360" w:lineRule="auto"/>
        <w:ind w:left="567" w:hanging="284"/>
        <w:jc w:val="both"/>
        <w:rPr>
          <w:sz w:val="22"/>
          <w:szCs w:val="22"/>
        </w:rPr>
      </w:pPr>
      <w:r w:rsidDel="00000000" w:rsidR="00000000" w:rsidRPr="00000000">
        <w:rPr>
          <w:sz w:val="22"/>
          <w:szCs w:val="22"/>
          <w:rtl w:val="0"/>
        </w:rPr>
        <w:t xml:space="preserve">che gli estremi del conto corrente bancario/postale dedicato ai rapporti finanziari inerenti i contratti di appalto/fornitura/prestazioni di servizi nei confronti dell’Università degli Studi di Roma “La Sapienza”, sono i seguenti: </w:t>
      </w:r>
    </w:p>
    <w:p w:rsidR="00000000" w:rsidDel="00000000" w:rsidP="00000000" w:rsidRDefault="00000000" w:rsidRPr="00000000" w14:paraId="0000004D">
      <w:pPr>
        <w:spacing w:line="360" w:lineRule="auto"/>
        <w:ind w:left="567" w:hanging="284"/>
        <w:rPr>
          <w:sz w:val="22"/>
          <w:szCs w:val="22"/>
        </w:rPr>
      </w:pPr>
      <w:r w:rsidDel="00000000" w:rsidR="00000000" w:rsidRPr="00000000">
        <w:rPr>
          <w:sz w:val="22"/>
          <w:szCs w:val="22"/>
          <w:rtl w:val="0"/>
        </w:rPr>
        <w:t xml:space="preserve"> </w:t>
        <w:tab/>
        <w:t xml:space="preserve">IBAN      ______________________________________________</w:t>
      </w:r>
    </w:p>
    <w:p w:rsidR="00000000" w:rsidDel="00000000" w:rsidP="00000000" w:rsidRDefault="00000000" w:rsidRPr="00000000" w14:paraId="0000004E">
      <w:pPr>
        <w:spacing w:line="360" w:lineRule="auto"/>
        <w:ind w:left="284" w:hanging="284"/>
        <w:rPr>
          <w:sz w:val="22"/>
          <w:szCs w:val="22"/>
        </w:rPr>
      </w:pPr>
      <w:r w:rsidDel="00000000" w:rsidR="00000000" w:rsidRPr="00000000">
        <w:rPr>
          <w:rtl w:val="0"/>
        </w:rPr>
      </w:r>
    </w:p>
    <w:p w:rsidR="00000000" w:rsidDel="00000000" w:rsidP="00000000" w:rsidRDefault="00000000" w:rsidRPr="00000000" w14:paraId="0000004F">
      <w:pPr>
        <w:numPr>
          <w:ilvl w:val="0"/>
          <w:numId w:val="3"/>
        </w:numPr>
        <w:spacing w:line="360" w:lineRule="auto"/>
        <w:ind w:left="284" w:hanging="284"/>
        <w:rPr>
          <w:sz w:val="22"/>
          <w:szCs w:val="22"/>
        </w:rPr>
      </w:pPr>
      <w:r w:rsidDel="00000000" w:rsidR="00000000" w:rsidRPr="00000000">
        <w:rPr>
          <w:sz w:val="22"/>
          <w:szCs w:val="22"/>
          <w:rtl w:val="0"/>
        </w:rPr>
        <w:t xml:space="preserve">che le persone abilitate ad operare sul predetto conto sono:</w:t>
      </w:r>
    </w:p>
    <w:p w:rsidR="00000000" w:rsidDel="00000000" w:rsidP="00000000" w:rsidRDefault="00000000" w:rsidRPr="00000000" w14:paraId="00000050">
      <w:pPr>
        <w:spacing w:line="360" w:lineRule="auto"/>
        <w:ind w:left="567" w:hanging="284"/>
        <w:rPr>
          <w:sz w:val="22"/>
          <w:szCs w:val="22"/>
        </w:rPr>
      </w:pPr>
      <w:r w:rsidDel="00000000" w:rsidR="00000000" w:rsidRPr="00000000">
        <w:rPr>
          <w:sz w:val="22"/>
          <w:szCs w:val="22"/>
          <w:rtl w:val="0"/>
        </w:rPr>
        <w:t xml:space="preserve">  _____________________            _______________________       __________________</w:t>
      </w:r>
    </w:p>
    <w:p w:rsidR="00000000" w:rsidDel="00000000" w:rsidP="00000000" w:rsidRDefault="00000000" w:rsidRPr="00000000" w14:paraId="00000051">
      <w:pPr>
        <w:spacing w:line="360" w:lineRule="auto"/>
        <w:ind w:left="567" w:hanging="284"/>
        <w:rPr>
          <w:sz w:val="22"/>
          <w:szCs w:val="22"/>
        </w:rPr>
      </w:pPr>
      <w:r w:rsidDel="00000000" w:rsidR="00000000" w:rsidRPr="00000000">
        <w:rPr>
          <w:sz w:val="22"/>
          <w:szCs w:val="22"/>
          <w:rtl w:val="0"/>
        </w:rPr>
        <w:tab/>
        <w:t xml:space="preserve">           Nome                                           Cognome                           codice fiscale</w:t>
      </w:r>
    </w:p>
    <w:p w:rsidR="00000000" w:rsidDel="00000000" w:rsidP="00000000" w:rsidRDefault="00000000" w:rsidRPr="00000000" w14:paraId="00000052">
      <w:pPr>
        <w:spacing w:line="360" w:lineRule="auto"/>
        <w:ind w:left="567" w:hanging="284"/>
        <w:rPr>
          <w:sz w:val="22"/>
          <w:szCs w:val="22"/>
        </w:rPr>
      </w:pPr>
      <w:r w:rsidDel="00000000" w:rsidR="00000000" w:rsidRPr="00000000">
        <w:rPr>
          <w:sz w:val="22"/>
          <w:szCs w:val="22"/>
          <w:rtl w:val="0"/>
        </w:rPr>
        <w:t xml:space="preserve">_____________________            _______________________       __________________</w:t>
      </w:r>
    </w:p>
    <w:p w:rsidR="00000000" w:rsidDel="00000000" w:rsidP="00000000" w:rsidRDefault="00000000" w:rsidRPr="00000000" w14:paraId="00000053">
      <w:pPr>
        <w:spacing w:line="360" w:lineRule="auto"/>
        <w:ind w:left="567" w:hanging="284"/>
        <w:rPr>
          <w:sz w:val="22"/>
          <w:szCs w:val="22"/>
        </w:rPr>
      </w:pPr>
      <w:r w:rsidDel="00000000" w:rsidR="00000000" w:rsidRPr="00000000">
        <w:rPr>
          <w:sz w:val="22"/>
          <w:szCs w:val="22"/>
          <w:rtl w:val="0"/>
        </w:rPr>
        <w:tab/>
        <w:t xml:space="preserve">           Nome                                           Cognome                           codice fiscale</w:t>
      </w:r>
    </w:p>
    <w:p w:rsidR="00000000" w:rsidDel="00000000" w:rsidP="00000000" w:rsidRDefault="00000000" w:rsidRPr="00000000" w14:paraId="00000054">
      <w:pPr>
        <w:spacing w:line="360" w:lineRule="auto"/>
        <w:ind w:left="567" w:hanging="284"/>
        <w:rPr>
          <w:sz w:val="22"/>
          <w:szCs w:val="22"/>
        </w:rPr>
      </w:pPr>
      <w:r w:rsidDel="00000000" w:rsidR="00000000" w:rsidRPr="00000000">
        <w:rPr>
          <w:sz w:val="22"/>
          <w:szCs w:val="22"/>
          <w:rtl w:val="0"/>
        </w:rPr>
        <w:t xml:space="preserve">_____________________            _______________________       __________________</w:t>
      </w:r>
    </w:p>
    <w:p w:rsidR="00000000" w:rsidDel="00000000" w:rsidP="00000000" w:rsidRDefault="00000000" w:rsidRPr="00000000" w14:paraId="00000055">
      <w:pPr>
        <w:spacing w:line="360" w:lineRule="auto"/>
        <w:ind w:left="567" w:hanging="284"/>
        <w:rPr>
          <w:sz w:val="22"/>
          <w:szCs w:val="22"/>
        </w:rPr>
      </w:pPr>
      <w:r w:rsidDel="00000000" w:rsidR="00000000" w:rsidRPr="00000000">
        <w:rPr>
          <w:sz w:val="22"/>
          <w:szCs w:val="22"/>
          <w:rtl w:val="0"/>
        </w:rPr>
        <w:tab/>
        <w:t xml:space="preserve">           Nome                                           Cognome                           codice fiscale</w:t>
      </w:r>
    </w:p>
    <w:p w:rsidR="00000000" w:rsidDel="00000000" w:rsidP="00000000" w:rsidRDefault="00000000" w:rsidRPr="00000000" w14:paraId="00000056">
      <w:pPr>
        <w:ind w:left="284" w:hanging="284"/>
        <w:rPr>
          <w:sz w:val="22"/>
          <w:szCs w:val="22"/>
        </w:rPr>
      </w:pPr>
      <w:r w:rsidDel="00000000" w:rsidR="00000000" w:rsidRPr="00000000">
        <w:rPr>
          <w:rtl w:val="0"/>
        </w:rPr>
      </w:r>
    </w:p>
    <w:p w:rsidR="00000000" w:rsidDel="00000000" w:rsidP="00000000" w:rsidRDefault="00000000" w:rsidRPr="00000000" w14:paraId="00000057">
      <w:pPr>
        <w:numPr>
          <w:ilvl w:val="0"/>
          <w:numId w:val="3"/>
        </w:numPr>
        <w:ind w:left="284" w:hanging="284"/>
        <w:rPr>
          <w:sz w:val="22"/>
          <w:szCs w:val="22"/>
        </w:rPr>
      </w:pPr>
      <w:r w:rsidDel="00000000" w:rsidR="00000000" w:rsidRPr="00000000">
        <w:rPr>
          <w:sz w:val="22"/>
          <w:szCs w:val="22"/>
          <w:rtl w:val="0"/>
        </w:rPr>
        <w:t xml:space="preserve">di assumere l’obbligo di tracciabilità dei flussi finanziari;</w:t>
      </w:r>
    </w:p>
    <w:p w:rsidR="00000000" w:rsidDel="00000000" w:rsidP="00000000" w:rsidRDefault="00000000" w:rsidRPr="00000000" w14:paraId="00000058">
      <w:pPr>
        <w:ind w:left="284" w:hanging="284"/>
        <w:rPr>
          <w:sz w:val="22"/>
          <w:szCs w:val="22"/>
        </w:rPr>
      </w:pPr>
      <w:r w:rsidDel="00000000" w:rsidR="00000000" w:rsidRPr="00000000">
        <w:rPr>
          <w:rtl w:val="0"/>
        </w:rPr>
      </w:r>
    </w:p>
    <w:p w:rsidR="00000000" w:rsidDel="00000000" w:rsidP="00000000" w:rsidRDefault="00000000" w:rsidRPr="00000000" w14:paraId="00000059">
      <w:pPr>
        <w:numPr>
          <w:ilvl w:val="0"/>
          <w:numId w:val="3"/>
        </w:numPr>
        <w:ind w:left="284" w:hanging="284"/>
        <w:rPr>
          <w:sz w:val="22"/>
          <w:szCs w:val="22"/>
        </w:rPr>
      </w:pPr>
      <w:r w:rsidDel="00000000" w:rsidR="00000000" w:rsidRPr="00000000">
        <w:rPr>
          <w:sz w:val="22"/>
          <w:szCs w:val="22"/>
          <w:rtl w:val="0"/>
        </w:rPr>
        <w:t xml:space="preserve">di impegnarsi a comunicare, nei termini previsti dalla norma, eventuali eventi modificativi riguardanti la presente dichiarazione.</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72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B">
      <w:pPr>
        <w:ind w:left="709" w:firstLine="0"/>
        <w:jc w:val="center"/>
        <w:rPr>
          <w:b w:val="1"/>
          <w:sz w:val="22"/>
          <w:szCs w:val="22"/>
        </w:rPr>
      </w:pPr>
      <w:r w:rsidDel="00000000" w:rsidR="00000000" w:rsidRPr="00000000">
        <w:rPr>
          <w:b w:val="1"/>
          <w:sz w:val="22"/>
          <w:szCs w:val="22"/>
          <w:rtl w:val="0"/>
        </w:rPr>
        <w:t xml:space="preserve">PRENDE ATTO</w:t>
      </w:r>
    </w:p>
    <w:p w:rsidR="00000000" w:rsidDel="00000000" w:rsidP="00000000" w:rsidRDefault="00000000" w:rsidRPr="00000000" w14:paraId="0000005C">
      <w:pPr>
        <w:ind w:left="709" w:firstLine="0"/>
        <w:jc w:val="center"/>
        <w:rPr>
          <w:sz w:val="22"/>
          <w:szCs w:val="22"/>
        </w:rPr>
      </w:pPr>
      <w:r w:rsidDel="00000000" w:rsidR="00000000" w:rsidRPr="00000000">
        <w:rPr>
          <w:rtl w:val="0"/>
        </w:rPr>
      </w:r>
    </w:p>
    <w:p w:rsidR="00000000" w:rsidDel="00000000" w:rsidP="00000000" w:rsidRDefault="00000000" w:rsidRPr="00000000" w14:paraId="0000005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bookmarkStart w:colFirst="0" w:colLast="0" w:name="_heading=h.30j0zll" w:id="1"/>
      <w:bookmarkEnd w:id="1"/>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che, ai sensi dell’art. 99, del D. Lgs. 36/2023 intitolato “Verifica del possesso dei requisiti”, la stazione appaltante:</w:t>
      </w:r>
    </w:p>
    <w:p w:rsidR="00000000" w:rsidDel="00000000" w:rsidP="00000000" w:rsidRDefault="00000000" w:rsidRPr="00000000" w14:paraId="0000005E">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567"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verifica l’assenza di cause di esclusione automatiche di cui all’articolo 94 attraverso la consultazione del fascicolo virtuale dell’operatore economico di cui all’articolo 24, la consultazione degli altri documenti allegati dall’operatore economico, nonché tramite l’interoperabilità con la piattaforma digitale nazionale dati di cui all’articolo 50-ter del codice dell'amministrazione digitale, di cui al decreto legislativo 7 marzo 2005, n. 82 e con le banche dati delle pubbliche amministrazioni;</w:t>
      </w:r>
    </w:p>
    <w:p w:rsidR="00000000" w:rsidDel="00000000" w:rsidP="00000000" w:rsidRDefault="00000000" w:rsidRPr="00000000" w14:paraId="0000005F">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567"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con le medesime modalità di cui al comma 1, verifica l’assenza delle cause di esclusione non automatica di cui all’articolo 95, e il possesso dei requisiti di partecipazione di cui agli articoli 100 (requisiti di ordine speciale) e 103 (requisiti di partecipazione solo per procedure di lavori di rilevante importo)</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5"/>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che, ai sensi di quanto previsto dall’art.52, comma 1 e 2 del D. Lgs. 36/2023 intitolato “</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Controllo sul possesso dei requisiti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la stazione appaltante </w:t>
      </w:r>
      <w:r w:rsidDel="00000000" w:rsidR="00000000" w:rsidRPr="00000000">
        <w:rPr>
          <w:rFonts w:ascii="Times New Roman" w:cs="Times New Roman" w:eastAsia="Times New Roman" w:hAnsi="Times New Roman"/>
          <w:b w:val="1"/>
          <w:i w:val="0"/>
          <w:smallCaps w:val="0"/>
          <w:strike w:val="0"/>
          <w:color w:val="000000"/>
          <w:sz w:val="22"/>
          <w:szCs w:val="22"/>
          <w:u w:val="single"/>
          <w:shd w:fill="auto" w:val="clear"/>
          <w:vertAlign w:val="baseline"/>
          <w:rtl w:val="0"/>
        </w:rPr>
        <w:t xml:space="preserve">nelle procedure di affidamento di cui all’articolo 50, comma 1, lettere a) e b), di importo inferiore a 40.000 euro</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verifica le dichiarazioni sostitutive di atto di notorietà presentate e attestanti il possesso dei requisiti di partecipazione e di qualificazione richiesti, anche previo sorteggio di un campione individuato con modalità predeterminate ogni anno. Quando in conseguenza della verifica non sia confermato il possesso dei requisiti generali o speciali dichiarati, la stazione appaltante procede alla risoluzione del contratto, all’escussione della eventuale garanzia definitiva, alla comunicazione all’ANAC e alla sospensione dell’operatore economico dalla partecipazione alle procedure di affidamento indette dalla medesima stazione appaltante per un periodo da uno a dodici mesi decorrenti dall’adozione del provvedimento;</w:t>
      </w:r>
    </w:p>
    <w:p w:rsidR="00000000" w:rsidDel="00000000" w:rsidP="00000000" w:rsidRDefault="00000000" w:rsidRPr="00000000" w14:paraId="00000062">
      <w:pPr>
        <w:rPr>
          <w:sz w:val="22"/>
          <w:szCs w:val="22"/>
        </w:rPr>
      </w:pPr>
      <w:r w:rsidDel="00000000" w:rsidR="00000000" w:rsidRPr="00000000">
        <w:rPr>
          <w:rtl w:val="0"/>
        </w:rPr>
      </w:r>
    </w:p>
    <w:p w:rsidR="00000000" w:rsidDel="00000000" w:rsidP="00000000" w:rsidRDefault="00000000" w:rsidRPr="00000000" w14:paraId="00000063">
      <w:pPr>
        <w:spacing w:line="360" w:lineRule="auto"/>
        <w:jc w:val="center"/>
        <w:rPr>
          <w:b w:val="1"/>
          <w:sz w:val="22"/>
          <w:szCs w:val="22"/>
        </w:rPr>
      </w:pPr>
      <w:r w:rsidDel="00000000" w:rsidR="00000000" w:rsidRPr="00000000">
        <w:rPr>
          <w:b w:val="1"/>
          <w:sz w:val="22"/>
          <w:szCs w:val="22"/>
          <w:rtl w:val="0"/>
        </w:rPr>
        <w:t xml:space="preserve">DICHIARA INFINE </w:t>
      </w:r>
    </w:p>
    <w:p w:rsidR="00000000" w:rsidDel="00000000" w:rsidP="00000000" w:rsidRDefault="00000000" w:rsidRPr="00000000" w14:paraId="0000006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ffffff" w:val="clear"/>
        <w:spacing w:after="300" w:before="0" w:line="24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DI ACCETTARE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senza condizione o riserva alcuna, tutte le prescrizioni contenute nella documentazione relativa all’</w:t>
      </w:r>
      <w:hyperlink r:id="rId8">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affidamento sottosoglia</w:t>
        </w:r>
      </w:hyperlink>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in oggetto;</w:t>
      </w:r>
    </w:p>
    <w:p w:rsidR="00000000" w:rsidDel="00000000" w:rsidP="00000000" w:rsidRDefault="00000000" w:rsidRPr="00000000" w14:paraId="0000006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ffffff" w:val="clear"/>
        <w:spacing w:after="300" w:before="0" w:line="24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DI ESSERE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consapevole che, ai sensi dell’articolo 96, comma 14, del D.lgs. n. 36/2023, l’operatore ha l’obbligo di comunicare alla stazione appaltante anche la sussistenza dei fatti e dei provvedimenti che possono costituire causa di esclusione ai sensi degli articoli 94 e 95;</w:t>
      </w:r>
    </w:p>
    <w:p w:rsidR="00000000" w:rsidDel="00000000" w:rsidP="00000000" w:rsidRDefault="00000000" w:rsidRPr="00000000" w14:paraId="0000006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ffffff" w:val="clear"/>
        <w:spacing w:after="300" w:before="0" w:line="24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DI IMPEGNARSI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ad eseguire le prestazioni in parola secondo le modalità ed i tempi stabiliti dalla stazione appaltante; </w:t>
      </w:r>
    </w:p>
    <w:p w:rsidR="00000000" w:rsidDel="00000000" w:rsidP="00000000" w:rsidRDefault="00000000" w:rsidRPr="00000000" w14:paraId="0000006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ffffff" w:val="clear"/>
        <w:spacing w:after="300" w:before="0" w:line="24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DI ESSERE EDOTTO</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degli obblighi derivanti dal Codice di comportamento integrativo dell’Ente</w:t>
      </w: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e di impegnarsi, in caso di aggiudicazione, a osservare e a far osservare ai propri dipendenti e collaboratori, per quanto applicabile, il suddetto codice, pena la risoluzione del contratto;</w:t>
      </w:r>
    </w:p>
    <w:p w:rsidR="00000000" w:rsidDel="00000000" w:rsidP="00000000" w:rsidRDefault="00000000" w:rsidRPr="00000000" w14:paraId="0000006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ffffff" w:val="clear"/>
        <w:spacing w:after="300" w:before="0" w:line="24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DI IMPEGNARSI</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  garantire al personale impiegato nei lavori il contratto collettivo nazionale e territoriale in vigore per il settore e per la zona nella quale si eseguono le prestazioni di lavoro, stipulato dalle associazioni dei datori e dei prestatori di lavoro comparativamente più rappresentative sul piano nazionale e quello il cui ambito di applicazione sia strettamente connesso con l’attività oggetto dell’appalto svolta dall’impresa anche in maniera prevalente, nonché garantire le stesse tutele economiche e normative per i lavoratori in subappalto rispetto ai dipendenti dell’appaltatore e contro il lavoro irregolare;</w:t>
      </w:r>
    </w:p>
    <w:p w:rsidR="00000000" w:rsidDel="00000000" w:rsidP="00000000" w:rsidRDefault="00000000" w:rsidRPr="00000000" w14:paraId="0000006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ffffff" w:val="clear"/>
        <w:spacing w:after="300" w:before="0" w:line="24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sdt>
        <w:sdtPr>
          <w:tag w:val="goog_rdk_0"/>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DI APPLICARE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ai propri dipendenti il seguente Contratto Nazionale (CCNL): ________________________;</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ffffff" w:val="clear"/>
        <w:spacing w:after="300" w:before="0" w:line="240" w:lineRule="auto"/>
        <w:ind w:left="284"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2"/>
          <w:szCs w:val="22"/>
          <w:u w:val="none"/>
          <w:shd w:fill="auto" w:val="clear"/>
          <w:vertAlign w:val="baseline"/>
          <w:rtl w:val="0"/>
        </w:rPr>
        <w:t xml:space="preserve">Oppure</w:t>
      </w:r>
      <w:r w:rsidDel="00000000" w:rsidR="00000000" w:rsidRPr="00000000">
        <w:rPr>
          <w:rtl w:val="0"/>
        </w:rPr>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ffffff" w:val="clear"/>
        <w:spacing w:after="300" w:before="0" w:line="240" w:lineRule="auto"/>
        <w:ind w:left="284"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sdt>
        <w:sdtPr>
          <w:tag w:val="goog_rdk_1"/>
        </w:sdtPr>
        <w:sdtContent>
          <w:r w:rsidDel="00000000" w:rsidR="00000000" w:rsidRPr="00000000">
            <w:rPr>
              <w:rFonts w:ascii="Arial Unicode MS" w:cs="Arial Unicode MS" w:eastAsia="Arial Unicode MS" w:hAnsi="Arial Unicode MS"/>
              <w:b w:val="0"/>
              <w:i w:val="0"/>
              <w:smallCaps w:val="0"/>
              <w:strike w:val="0"/>
              <w:color w:val="000000"/>
              <w:sz w:val="22"/>
              <w:szCs w:val="22"/>
              <w:u w:val="none"/>
              <w:shd w:fill="auto" w:val="clear"/>
              <w:vertAlign w:val="baseline"/>
              <w:rtl w:val="0"/>
            </w:rPr>
            <w:t xml:space="preserve">☐</w:t>
          </w:r>
        </w:sdtContent>
      </w:sdt>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CHE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il Contratto Nazionale applicato ai propri dipendenti è il seguente ________________________ e che lo stesso, in quanto equivalente, assicura le medesime tutele economiche e normative ai lavoratori di quello indicato dalla stazione appaltante, esprimendosi sin da ora la disponibilità ad ogni verifica in tal senso, secondo quanto stabilito dal D. Lgs 36/2023;</w:t>
      </w:r>
    </w:p>
    <w:p w:rsidR="00000000" w:rsidDel="00000000" w:rsidP="00000000" w:rsidRDefault="00000000" w:rsidRPr="00000000" w14:paraId="0000006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ffffff" w:val="clear"/>
        <w:spacing w:after="300" w:before="0" w:line="240" w:lineRule="auto"/>
        <w:ind w:left="284" w:right="0" w:hanging="284"/>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DI AUTORIZZARE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ai sensi del decreto legislativo 30 giugno 2003, n. 196 e ss.mm.ii. e del Regolamento UE 2016/679, l’utilizzazione dei dati di cui alla presente dichiarazione, compresi quelli di cui ai numeri 2) e 3) (dati sensibili ai sensi degli articoli 20, 21 e 22, del citato decreto legislativo, ferme restando le esenzioni dagli obblighi di notifica e acquisizione del consenso), ai fini della partecipazione alla procedura e per gli eventuali procedimenti amministrativi e giurisdizionali conseguenti; ne autorizza, inoltre, la comunicazione ai funzionari e agli incaricati dell’organismo appaltante o dell’amministrazione aggiudicatrice, nonché agli eventuali controinteressati che ne facciano legittima e motivata richiesta.</w:t>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Luogo e data__________________________________________</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righ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FIRMA DEL DICHIARANTE</w:t>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superscript"/>
        </w:rPr>
        <w:footnoteReference w:customMarkFollows="0" w:id="6"/>
      </w:r>
      <w:r w:rsidDel="00000000" w:rsidR="00000000" w:rsidRPr="00000000">
        <w:rPr>
          <w:rtl w:val="0"/>
        </w:rPr>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righ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righ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_______________________________________</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sectPr>
      <w:headerReference r:id="rId9" w:type="default"/>
      <w:headerReference r:id="rId10" w:type="first"/>
      <w:headerReference r:id="rId11" w:type="even"/>
      <w:footerReference r:id="rId12" w:type="default"/>
      <w:footerReference r:id="rId13" w:type="first"/>
      <w:footerReference r:id="rId14" w:type="even"/>
      <w:pgSz w:h="16840" w:w="11900" w:orient="portrait"/>
      <w:pgMar w:bottom="1134" w:top="2552" w:left="1134" w:right="1134" w:header="720" w:footer="5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mbria"/>
  <w:font w:name="Calibri"/>
  <w:font w:name="Georgia"/>
  <w:font w:name="Arial"/>
  <w:font w:name="Times New Roman"/>
  <w:font w:name="Arial Unicode MS"/>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6426200</wp:posOffset>
              </wp:positionH>
              <wp:positionV relativeFrom="paragraph">
                <wp:posOffset>0</wp:posOffset>
              </wp:positionV>
              <wp:extent cx="180340" cy="183515"/>
              <wp:effectExtent b="0" l="0" r="0" t="0"/>
              <wp:wrapSquare wrapText="bothSides" distB="0" distT="0" distL="0" distR="0"/>
              <wp:docPr id="1986442298" name=""/>
              <a:graphic>
                <a:graphicData uri="http://schemas.microsoft.com/office/word/2010/wordprocessingShape">
                  <wps:wsp>
                    <wps:cNvSpPr/>
                    <wps:cNvPr id="2" name="Shape 2"/>
                    <wps:spPr>
                      <a:xfrm>
                        <a:off x="5260593" y="3693005"/>
                        <a:ext cx="170815" cy="173990"/>
                      </a:xfrm>
                      <a:prstGeom prst="rect">
                        <a:avLst/>
                      </a:prstGeom>
                      <a:solidFill>
                        <a:srgbClr val="FFFFFF">
                          <a:alpha val="0"/>
                        </a:srgbClr>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 PAGE 1</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6426200</wp:posOffset>
              </wp:positionH>
              <wp:positionV relativeFrom="paragraph">
                <wp:posOffset>0</wp:posOffset>
              </wp:positionV>
              <wp:extent cx="180340" cy="183515"/>
              <wp:effectExtent b="0" l="0" r="0" t="0"/>
              <wp:wrapSquare wrapText="bothSides" distB="0" distT="0" distL="0" distR="0"/>
              <wp:docPr id="1986442298" name="image2.png"/>
              <a:graphic>
                <a:graphicData uri="http://schemas.openxmlformats.org/drawingml/2006/picture">
                  <pic:pic>
                    <pic:nvPicPr>
                      <pic:cNvPr id="0" name="image2.png"/>
                      <pic:cNvPicPr preferRelativeResize="0"/>
                    </pic:nvPicPr>
                    <pic:blipFill>
                      <a:blip r:embed="rId1"/>
                      <a:srcRect/>
                      <a:stretch>
                        <a:fillRect/>
                      </a:stretch>
                    </pic:blipFill>
                    <pic:spPr>
                      <a:xfrm>
                        <a:off x="0" y="0"/>
                        <a:ext cx="180340" cy="183515"/>
                      </a:xfrm>
                      <a:prstGeom prst="rect"/>
                      <a:ln/>
                    </pic:spPr>
                  </pic:pic>
                </a:graphicData>
              </a:graphic>
            </wp:anchor>
          </w:drawing>
        </mc:Fallback>
      </mc:AlternateContent>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2921000</wp:posOffset>
              </wp:positionH>
              <wp:positionV relativeFrom="paragraph">
                <wp:posOffset>0</wp:posOffset>
              </wp:positionV>
              <wp:extent cx="251460" cy="183515"/>
              <wp:effectExtent b="0" l="0" r="0" t="0"/>
              <wp:wrapSquare wrapText="bothSides" distB="0" distT="0" distL="0" distR="0"/>
              <wp:docPr id="1986442299" name=""/>
              <a:graphic>
                <a:graphicData uri="http://schemas.microsoft.com/office/word/2010/wordprocessingShape">
                  <wps:wsp>
                    <wps:cNvSpPr/>
                    <wps:cNvPr id="3" name="Shape 3"/>
                    <wps:spPr>
                      <a:xfrm>
                        <a:off x="5225033" y="3693005"/>
                        <a:ext cx="241935" cy="173990"/>
                      </a:xfrm>
                      <a:prstGeom prst="rect">
                        <a:avLst/>
                      </a:prstGeom>
                      <a:solidFill>
                        <a:srgbClr val="FFFFFF">
                          <a:alpha val="0"/>
                        </a:srgbClr>
                      </a:solidFill>
                      <a:ln>
                        <a:noFill/>
                      </a:ln>
                    </wps:spPr>
                    <wps:txbx>
                      <w:txbxContent>
                        <w:p w:rsidR="00000000" w:rsidDel="00000000" w:rsidP="00000000" w:rsidRDefault="00000000" w:rsidRPr="00000000">
                          <w:pPr>
                            <w:spacing w:after="0" w:before="0" w:line="240"/>
                            <w:ind w:left="0" w:right="360" w:firstLine="0"/>
                            <w:jc w:val="left"/>
                            <w:textDirection w:val="btLr"/>
                          </w:pP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2921000</wp:posOffset>
              </wp:positionH>
              <wp:positionV relativeFrom="paragraph">
                <wp:posOffset>0</wp:posOffset>
              </wp:positionV>
              <wp:extent cx="251460" cy="183515"/>
              <wp:effectExtent b="0" l="0" r="0" t="0"/>
              <wp:wrapSquare wrapText="bothSides" distB="0" distT="0" distL="0" distR="0"/>
              <wp:docPr id="1986442299"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251460" cy="183515"/>
                      </a:xfrm>
                      <a:prstGeom prst="rect"/>
                      <a:ln/>
                    </pic:spPr>
                  </pic:pic>
                </a:graphicData>
              </a:graphic>
            </wp:anchor>
          </w:drawing>
        </mc:Fallback>
      </mc:AlternateConten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Resta fermo quanto previsto dagli articoli 88, comma 4-bis, e 92, commi 2 e 3, del codice di cui al decreto legislativo n. 159 del 2011, con riferimento rispettivamente alle comunicazioni antimafia e alle informazioni antimafia. La causa di esclusione di cui all’articolo 84, comma 4, del medesimo codice di cui al decreto legislativo n. 159 del 2011 non opera se, entro la data dell’aggiudicazione, l’impresa sia stata ammessa al controllo giudiziario ai sensi dell’articolo 34-bis del medesimo codice. In nessun caso l’aggiudicazione può subire dilazioni in ragione della pendenza del procedimento suindicato.</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Ai sensi dell’art.94, comma 3, del D.Lgs. 36/2023,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l'esclusione è disposta se la sentenza o il decreto oppure la misura interdittiva ivi indicati sono stati emessi nei confronti:</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a) dell’operatore economico ai sensi e nei termini di cui al decreto legislativo 8 giugno 2001, n. 231;</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b) del titolare o del direttore tecnico, se si tratta di impresa individuale;</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c) di un socio amministratore o del direttore tecnico, se si tratta di società in nome collettivo;</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d) dei soci accomandatari o del direttore tecnico, se si tratta di società in accomandita semplice;</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e) dei membri del consiglio di amministrazione cui sia stata conferita la legale rappresentanza, ivi compresi gli institori e i procuratori generali;</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f) dei componenti degli organi con poteri di direzione o di vigilanza o dei soggetti muniti di poteri di rappresentanza, di direzione o di controllo;</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g) del direttore tecnico o del socio unico;</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h) dell’amministratore di fatto nelle ipotesi di cui alle lettere precedenti”</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Secondo l’art.94, comma 4, del D. Lgs. 36/2023,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Nel caso in cui il socio sia una persona giuridica l’esclusione va disposta se la sentenza o il decreto ovvero la misura interdittiva sono stati emessi nei confronti degli amministratori di quest’ultima”.</w:t>
      </w:r>
      <w:r w:rsidDel="00000000" w:rsidR="00000000" w:rsidRPr="00000000">
        <w:rPr>
          <w:rtl w:val="0"/>
        </w:rPr>
      </w:r>
    </w:p>
  </w:footnote>
  <w:footnote w:id="1">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Si evidenzia che sono, altresì, esclusi, in relazione alle procedure afferenti agli investimenti pubblici finanziati, in tutto o in parte, con le risorse previste dal regolamento (UE) n. 240/2021 del Parlamento europeo e del Consiglio, del 10 febbraio 2021 e dal regolamento (UE) n. 241/2021 del Parlamento europeo e del Consiglio, del 12 febbraio 2021, gli operatori economici tenuti alla redazione del rapporto sulla situazione del personale, ai sensi dell’articolo 46 del codice delle pari opportunità tra uomo e donna, di cui al decreto legislativo 11 aprile 2006, n. 198, che non abbiano prodotto, al momento della presentazione della domanda di partecipazione o dell’offerta, copia dell’ultimo rapporto redatto, con attestazione della sua conformità a quello trasmesso alle rappresentanze sindacali 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w:t>
      </w:r>
    </w:p>
  </w:footnote>
  <w:footnote w:id="2">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Costituiscono gravi violazioni definitivamente accertate quelle indicate nell’allegato II.10. La norma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ALLEGATO II.10 - Disposizioni in materia di possibile esclusione dell’operatore economico dalla partecipazione a una procedura d’appalto per gravi violazioni in materia fiscale non definitivamente accertate (articoli 94, comma 6 e 95, comma 2, del Codice)</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t xml:space="preserve">Art. 1. Oggetto</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1. Ai sensi e per gli effetti dell’articoli 94, comma 6, del codice, costituiscono gravi violazioni quelle che comportano un omesso pagamento di imposte e tasse superiore all'importo di cui all'articolo 48-bis, commi 1 e 2-bis, del decreto del Presidente della Repubblica 29 settembre 1973, n. 602. Costituiscono violazioni definitivamente accertate quelle contenute in sentenze o atti amministrativi non più soggetti a impugnazione. Costituiscono gravi violazioni in materia contributiva e previdenziale quelle ostative al rilascio del documento unico di regolarità contributiva (DURC), di cui al decreto del Ministro del lavoro e delle politiche sociali 30 gennaio 2015, pubblicato nella Gazzetta Ufficiale della Repubblica italiana n. 125 del 1° giugno 2015, ovvero delle certificazioni rilasciate dagli enti previdenziali di riferimento non aderenti al sistema dello sportello unico previdenziale.</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2. In relazione agli articoli 94, comma 6 e 95, comma 2, si considera mezzo di prova, con riferimento ai contributi previdenziali e assistenziali, il documento unico di regolarità contributiva acquisito d'ufficio dalle stazioni appaltanti presso gli istituti previdenziali ai sensi della normativa vigente.</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t xml:space="preserve">Art. 2. Ambito di applicazione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1. Ai sensi e per gli effetti dell’articolo 95, comma 2, del codice, si considera violazione l’inottemperanza agli obblighi, relativi al pagamento di imposte e tasse derivanti dalla:</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a) notifica di atti impositivi, conseguenti ad attività di controllo degli uffici;</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b) notifica di atti impositivi, conseguenti ad attività di liquidazione degli uffici;</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c) notifica di cartelle di pagamento concernenti pretese tributarie, oggetto di comunicazioni di irregolarità emesse a seguito di controllo automatizzato o formale della dichiarazione, ai sensi degli articoli 36-bis e 36-ter del decreto del Presidente della Repubblica 29 settembre 1973, n. 600 e dell’art. 54-bis del decreto del Presidente della Repubblica 26 ottobre 1972, n. 633.</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t xml:space="preserve">Art. 3. Soglia di gravità</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1. Ai sensi e per gli effetti dell’art.95, comma 2, del codice, </w:t>
      </w:r>
      <w:r w:rsidDel="00000000" w:rsidR="00000000" w:rsidRPr="00000000">
        <w:rPr>
          <w:rFonts w:ascii="Times New Roman" w:cs="Times New Roman" w:eastAsia="Times New Roman" w:hAnsi="Times New Roman"/>
          <w:b w:val="1"/>
          <w:i w:val="1"/>
          <w:smallCaps w:val="0"/>
          <w:strike w:val="0"/>
          <w:color w:val="000000"/>
          <w:sz w:val="20"/>
          <w:szCs w:val="20"/>
          <w:u w:val="single"/>
          <w:shd w:fill="auto" w:val="clear"/>
          <w:vertAlign w:val="baseline"/>
          <w:rtl w:val="0"/>
        </w:rPr>
        <w:t xml:space="preserve">la violazione si considera grave quando comporta l'inottemperanza a un obbligo di pagamento di imposte o tasse per un importo che, con esclusione di sanzioni e interessi, è pari o superiore al 10 per cento del valore dell'appalto</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 Per gli appalti suddivisi in lotti, la soglia di gravità è rapportata al valore del lotto o dei lotti per i quali l'operatore economico concorre. In caso di subappalto o di partecipazione in raggruppamenti temporanei o in consorzi, la soglia di gravità riferita al subappaltatore o al partecipante al raggruppamento o al consorzio è rapportata al valore della prestazione assunta dal singolo operatore economico. I</w:t>
      </w:r>
      <w:r w:rsidDel="00000000" w:rsidR="00000000" w:rsidRPr="00000000">
        <w:rPr>
          <w:rFonts w:ascii="Times New Roman" w:cs="Times New Roman" w:eastAsia="Times New Roman" w:hAnsi="Times New Roman"/>
          <w:b w:val="1"/>
          <w:i w:val="1"/>
          <w:smallCaps w:val="0"/>
          <w:strike w:val="0"/>
          <w:color w:val="000000"/>
          <w:sz w:val="20"/>
          <w:szCs w:val="20"/>
          <w:u w:val="single"/>
          <w:shd w:fill="auto" w:val="clear"/>
          <w:vertAlign w:val="baseline"/>
          <w:rtl w:val="0"/>
        </w:rPr>
        <w:t xml:space="preserve">n ogni caso, l'importo della violazione non deve essere inferiore a 35.000 euro.</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1"/>
          <w:i w:val="1"/>
          <w:smallCaps w:val="0"/>
          <w:strike w:val="0"/>
          <w:color w:val="000000"/>
          <w:sz w:val="20"/>
          <w:szCs w:val="20"/>
          <w:u w:val="single"/>
          <w:shd w:fill="auto" w:val="clear"/>
          <w:vertAlign w:val="baseline"/>
          <w:rtl w:val="0"/>
        </w:rPr>
        <w:t xml:space="preserve">Costituiscono gravi violazioni in materia contributiva e previdenziale quelle ostative al rilascio del DURC</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 di cui al decreto del Ministro del lavoro e delle politiche sociali 30 gennaio 2015, ovvero delle certificazioni rilasciate dagli enti previdenziali di riferimento non aderenti al sistema dello sportello unico previdenziale.</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1"/>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0"/>
          <w:szCs w:val="20"/>
          <w:u w:val="none"/>
          <w:shd w:fill="auto" w:val="clear"/>
          <w:vertAlign w:val="baseline"/>
          <w:rtl w:val="0"/>
        </w:rPr>
        <w:t xml:space="preserve">Art. 4.</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1. Ai sensi e per gli effetti dell’articolo 95, comma 2, del codice, la violazione grave di cui all'articolo 3, comma 1, del presente allegato si considera non definitivamente accertata, e pertanto valutabile dalla stazione appaltante per l'esclusione dalla partecipazione alle procedure di affidamento di contratti pubblici, quando siano decorsi inutilmente i termini per adempiere all'obbligo di pagamento e l'atto impositivo o la cartella di pagamento siano stati tempestivamente impugnati.</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2. Le violazioni di cui al comma 1 non rilevano ai fini dell'esclusione dell'operatore economico dalla partecipazione alla procedura d'appalto se in relazione alle stesse è intervenuta una pronuncia giurisdizionale favorevole all'operatore economico non passata in giudicato, sino all'eventuale riforma della stessa o sino a che la violazione risulti definitivamente accertata, ovvero se sono stati adottati provvedimenti di sospensione giurisdizionale o amministrativa.</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Ai sensi dell’art. 95, comma 2, del D. Lgs. 36/2023</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 “La stazione appaltante esclude altresì un operatore economico qualora ritenga, sulla base di qualunque mezzo di prova adeguato, che lo stesso ha commesso gravi violazioni non definitivamente accertate agli obblighi relativi al pagamento di imposte e tasse o contributi previdenziali. Costituiscono gravi violazioni non definitivamente accertate in materia fiscale quelle indicate nell’allegato II.10. La gravità va in ogni caso valutata anche tenendo conto del valore dell’appalto. Il presente comma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footnote>
  <w:footnote w:id="3">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0"/>
          <w:szCs w:val="20"/>
          <w:u w:val="none"/>
          <w:shd w:fill="auto" w:val="clear"/>
          <w:vertAlign w:val="baseline"/>
          <w:rtl w:val="0"/>
        </w:rPr>
        <w:t xml:space="preserve">Ai sensi dell’art.98 del D. Lgs. 36/2023:</w:t>
      </w:r>
      <w:r w:rsidDel="00000000" w:rsidR="00000000" w:rsidRPr="00000000">
        <w:rPr>
          <w:rtl w:val="0"/>
        </w:rPr>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1. L’illecito professionale grave rileva solo se compiuto dall’operatore economico offerente, salvo quanto previsto dal comma 3, lettere g) ed h).</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2. L’esclusione di un operatore economico ai sensi dell’articolo 95, comma 1, lettera e) è disposta e comunicata dalla stazione appaltante quando ricorrono tutte le seguenti condizioni:</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a) elementi sufficienti ad integrare il grave illecito professionale;</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b) idoneità del grave illecito professionale ad incidere sull’affidabilità e integrità dell’operatore;</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c) adeguati mezzi di prova di cui al comma 6.</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3. L’illecito professionale si può desumere al verificarsi di almeno uno dei seguenti elementi:</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a) sanzione esecutiva irrogata dall’Autorità garante della concorrenza e del mercato o da altra autorità di settore, rilevante in relazione all’oggetto specifico dell’appalto;</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b) condotta dell'operatore economico che abbia tentato di influenzare indebitamente il processo decisionale della stazione appaltante o di ottenere informazioni riservate a proprio vantaggio oppure che abbia fornito, anche per negligenza, informazioni</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false o fuorvianti suscettibili di influenzare le decisioni sull'esclusione, la selezione o l'aggiudicazione;</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c) 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d) condotta dell'operatore economico che abbia commesso grave inadempimento nei confronti di uno o più subappaltatori;</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e) condotta dell'operatore economico che abbia violato il divieto di intestazione fiduciaria di cui all'articolo 17 della legge 19 marzo 1990, n. 55, laddove la violazione non sia stata rimossa;</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f) omessa denuncia all'autorità giudiziaria da parte dell'operatore economico persona offesa dei reati previsti e puniti dagli articoli 317 e 629 del codice penale aggravati ai sensi dell’articolo 416-bis.1 del medesimo codice salvo che ricorrano i casi previsti dall'articolo 4, primo comma, della legge 24 novembre 1981, n. 689.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g) contestata commissione da parte dell’operatore economico, ovvero dei soggetti di cui al comma 3 dell’articolo 94 di taluno dei reati consumati o tentati di cui al comma 1 del medesimo articolo 94;</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h) contestata o accertata commissione, da parte dell’operatore economico oppure dei soggetti di cui al comma 3 dell’articolo 94, di taluno dei seguenti reati consumati:</w:t>
      </w:r>
    </w:p>
    <w:p w:rsidR="00000000" w:rsidDel="00000000" w:rsidP="00000000" w:rsidRDefault="00000000" w:rsidRPr="00000000" w14:paraId="000000A3">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abusivo esercizio di una professione, ai sensi dell’articolo 348 del codice penale;</w:t>
      </w:r>
    </w:p>
    <w:p w:rsidR="00000000" w:rsidDel="00000000" w:rsidP="00000000" w:rsidRDefault="00000000" w:rsidRPr="00000000" w14:paraId="000000A4">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bancarotta semplice, bancarotta fraudolenta, omessa dichiarazione di beni da comprendere nell’inventario fallimentare o ricorso abusivo al credito, di cui agli articoli 216, 217, 218 e 220 del regio decreto 16 marzo 1942, n. 267;</w:t>
      </w:r>
    </w:p>
    <w:p w:rsidR="00000000" w:rsidDel="00000000" w:rsidP="00000000" w:rsidRDefault="00000000" w:rsidRPr="00000000" w14:paraId="000000A5">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i reati tributari ai sensi del decreto legislativo 10 marzo 2000, n. 74, i delitti societari di cui agli articoli 2621 e seguenti del codice civile o i delitti contro l’industria e il commercio di cui agli articoli da 513 a 517 del codice penale;</w:t>
      </w:r>
    </w:p>
    <w:p w:rsidR="00000000" w:rsidDel="00000000" w:rsidP="00000000" w:rsidRDefault="00000000" w:rsidRPr="00000000" w14:paraId="000000A6">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i reati urbanistici di cui all’articolo 44, comma 1, lettere b) e c), del testo unico delle disposizioni legislative e regolamentari in materia di edilizia, di cui al decreto del Presidente della Repubblica 6 giugno 2001, n. 380, con riferimento agli affidamenti aventi ad oggetto lavori o servizi di architettura e ingegneria;</w:t>
      </w:r>
    </w:p>
    <w:p w:rsidR="00000000" w:rsidDel="00000000" w:rsidP="00000000" w:rsidRDefault="00000000" w:rsidRPr="00000000" w14:paraId="000000A7">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i reati previsti dal decreto legislativo 8 giugno 2001, n. 231.</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4. La valutazione di gravità tiene conto del bene giuridico e dell’entità della lesione inferta dalla condotta integrante uno degli elementi di cui al comma 3 e del tempo trascorso dalla violazione, anche in relazione a modifiche intervenute nel frattempo nell’organizzazione dell’impresa.</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5. Le dichiarazioni omesse o non veritiere rese nella stessa gara e diverse da quelle di cui alla lettera b) del comma 3 possono essere utilizzate a supporto della valutazione di gravità riferita agli elementi di cui al comma 3.</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6. Costituiscono mezzi di prova adeguati, in relazione al comma 3:</w:t>
      </w:r>
    </w:p>
    <w:p w:rsidR="00000000" w:rsidDel="00000000" w:rsidP="00000000" w:rsidRDefault="00000000" w:rsidRPr="00000000" w14:paraId="000000AE">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quanto alla lettera a), i provvedimenti sanzionatori esecutivi resi dall’Autorità garante della concorrenza e del mercato o da altra autorità di settore;</w:t>
      </w:r>
    </w:p>
    <w:p w:rsidR="00000000" w:rsidDel="00000000" w:rsidP="00000000" w:rsidRDefault="00000000" w:rsidRPr="00000000" w14:paraId="000000AF">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quanto alla lettera b), la presenza di indizi gravi, precisi e concordanti che rendano evidente il ricorrere della situazione escludente;</w:t>
      </w:r>
    </w:p>
    <w:p w:rsidR="00000000" w:rsidDel="00000000" w:rsidP="00000000" w:rsidRDefault="00000000" w:rsidRPr="00000000" w14:paraId="000000B0">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quanto alla lettera c), l’intervenuta risoluzione per inadempimento o la condanna al risarcimento del danno o ad altre conseguenze comparabili;</w:t>
      </w:r>
    </w:p>
    <w:p w:rsidR="00000000" w:rsidDel="00000000" w:rsidP="00000000" w:rsidRDefault="00000000" w:rsidRPr="00000000" w14:paraId="000000B1">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quanto alla lettera d), la emissione di provvedimenti giurisdizionali anche non definitivi;</w:t>
      </w:r>
    </w:p>
    <w:p w:rsidR="00000000" w:rsidDel="00000000" w:rsidP="00000000" w:rsidRDefault="00000000" w:rsidRPr="00000000" w14:paraId="000000B2">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quanto alla lettera e), l'accertamento definitivo della violazione;</w:t>
      </w:r>
    </w:p>
    <w:p w:rsidR="00000000" w:rsidDel="00000000" w:rsidP="00000000" w:rsidRDefault="00000000" w:rsidRPr="00000000" w14:paraId="000000B3">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quanto alla lettera f), gli elementi ivi indicati;</w:t>
      </w:r>
    </w:p>
    <w:p w:rsidR="00000000" w:rsidDel="00000000" w:rsidP="00000000" w:rsidRDefault="00000000" w:rsidRPr="00000000" w14:paraId="000000B4">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quanto alla lettera g), gli atti di cui all’articolo 407-bis, comma 1, del codice di procedura penale, il decreto che dispone il giudizio ai sensi dell’articolo 429 del codice di procedura penale, o eventuali provvedimenti cautelari reali o personali emessi dal giudice penale, la sentenza di condanna non definitiva, il decreto penale di condanna non irrevocabile, la sentenza non irrevocabile di applicazione della pena su richiesta ai sensi dell'articolo 444 del codice di procedura penale;</w:t>
      </w:r>
    </w:p>
    <w:p w:rsidR="00000000" w:rsidDel="00000000" w:rsidP="00000000" w:rsidRDefault="00000000" w:rsidRPr="00000000" w14:paraId="000000B5">
      <w:pPr>
        <w:keepNext w:val="0"/>
        <w:keepLines w:val="0"/>
        <w:pageBreakBefore w:val="0"/>
        <w:widowControl w:val="0"/>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quanto alla lettera h), la sentenza di condanna definitiva, il decreto penale di condanna irrevocabile, e la condanna non definitiva, i provvedimenti cautelari reali o personali, ove emessi dal giudice penale.</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7. La stazione appaltante valuta i provvedimenti sanzionatori e giurisdizionali di cui al comma 6 motivando sulla ritenuta idoneità dei medesimi a incidere sull’affidabilità e sull’integrità dell’offerente; l’eventuale impugnazione dei medesimi è considerata nell’ambito della valutazione volta a verificare la sussistenza della causa escludente.</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0"/>
          <w:szCs w:val="20"/>
          <w:u w:val="none"/>
          <w:shd w:fill="auto" w:val="clear"/>
          <w:vertAlign w:val="baseline"/>
          <w:rtl w:val="0"/>
        </w:rPr>
        <w:t xml:space="preserve">8. Il provvedimento di esclusione deve essere motivato in relazione a tutte e tre le condizioni di cui al comma 2.</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tl w:val="0"/>
        </w:rPr>
      </w:r>
    </w:p>
  </w:footnote>
  <w:footnote w:id="4">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Articolo 100 - Requisiti di ordine speciale</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“1. Sono requisiti di ordine speciale: a) l'idoneità professionale; b) la capacità economica e finanziaria; c) le capacità tecniche e professionali. 2. Le stazioni appaltanti richiedono  requisiti  di  partecipazione proporzionati e attinenti all'oggetto dell'appalto.  3. Per le procedure di  aggiudicazione  di  appalti  di  servizi  e forniture le stazioni appaltanti richiedono l'iscrizione nel registro della camera di commercio, industria, artigianato e agricoltura o nel registro delle commissioni provinciali per l'artigianato o  presso  i competenti ordini professionali per un'attività pertinente anche  se non coincidente con l'oggetto dell'appalto.  All'operatore  economico di altro Stato  membro  non  residente  in  Italia  è  richiesto  di dichiarare ai sensi del testo unico delle disposizioni legislative  e regolamentari in materia di documentazione amministrativa, di cui  al decreto del Presidente della Repubblica del 28 dicembre 2000, n. 445, di essere iscritto in uno dei registri professionali o commerciali di cui all'allegato II.11. In sede di  prima  applicazione  del  codice, l'allegato II.11 è abrogato a decorrere dalla  data  di  entrata  in vigore  di  un   corrispondente   regolamento   adottato   ai   sensi dell'articolo 17, comma 3, della legge 23 agosto 1988,  n.  400,  con decreto del Presidente del Consiglio dei  ministri  su  proposta  del Ministro per gli affari europei, ove  nominato,  che  lo  sostituisce integralmente anche in qualità di allegato al codice.    4. Per le procedure di  aggiudicazione  di  appalti  di  lavori  di importo pari o  superiore  a  150.000  euro  le  stazioni  appaltanti richiedono   che   gli   operatori   economici   siano   qualificati. L'attestazione  di  qualificazione  è  rilasciata  da  organismi  di diritto privato autorizzati dall'ANAC. Il sistema  di  qualificazione per gli esecutori di lavori pubblici,  articolato  in  rapporto  alle categorie di  opere  ed  all'importo  delle  stesse  è  disciplinato dall'allegato  II.12.  Le  categorie  di  opere  si  distinguono   in categorie di opere generali e categorie di  opere  specializzate.  Il possesso di attestazione di qualificazione in categorie e classifiche adeguate ai lavori da appaltare rappresenta condizione  necessaria  e sufficiente per la dimostrazione dei requisiti di  partecipazione  di cui al  presente  articolo  nonché  per  l'esecuzione,  a  qualsiasi titolo, dell'appalto.  In  sede  di  prima  applicazione  del  codice l'allegato II.12 è abrogato a decorrere dalla  data  di  entrata  in vigore  di   un   corrispondente   regolamento   emanato   ai   sensi dell'articolo 17, comma 1, della legge 23 agosto  1988,  n.  400,  su proposta del Ministro delle infrastrutture e dei  trasporti,  sentita l'ANAC,  che  lo  sostituisce  integralmente  anche  in  qualità  di allegato al codice.    5. Per ottenere o rinnovare l'attestazione  di  qualificazione  gli operatori economici devono:    a)  essere  iscritti  nel  registro  della  camera  di   commercio, industria, artigianato e agricoltura o nel registro delle commissioni provinciali  per  l'artigianato  o   presso   i   competenti   ordini professionali  per  un'attività,  prevista  dall'oggetto  sociale  e compresa nella categoria per la quale è richiesta l'attestazione;    b) non essere incorsi nelle cause di esclusione di cui al  Capo  II del presente Titolo nel triennio precedente alla data  della  domanda di rilascio o di rinnovo dell'attestazione di qualificazione;    c) essere in possesso di  certificazioni  di  sistemi  di  qualità conformi alle norme  europee  e  alla  vigente  normativa  nazionale, rilasciate da soggetti accreditati.    6.  L'organismo  di   attestazione   rilascia   l'attestazione   di qualificazione per la categoria di opere generali o specializzate per l'esecuzione delle quali  l'operatore  economico  risulti  essere  in possesso di adeguata capacità economica e finanziaria,  di  adeguata dotazione di attrezzature tecniche e  risorse  umane,  e  dispone  la classificazione per importi in ragione  della  documentata  pregressa esperienza professionale.    7. Fino alla emanazione del regolamento di cui al sesto periodo del comma 4, il periodo di attività documentabile è quello relativo  ai quindici anni antecedenti la data di sottoscrizione del contratto con la società organismo di attestazione (SOA) e  la  qualificazione  ha durata  di  cinque  anni,  con  verifica  entro  il  terzo  anno  del mantenimento dei requisiti.    8. Con il regolamento di cui al sesto periodo del comma 4  sono  in ogni caso disciplinati:    a) la procedura per ottenere l'attestazione di qualificazione e per il suo rinnovo, prevedendo  che  l'operatore  economico  richieda  la conferma dell'attestazione nel caso in cui, nel periodo di  validità dell'attestazione, intervenga una modifica soggettiva;    b)  i  requisiti  per  la  dimostrazione  dell'adeguata   capacità economica e finanziaria  e  per  la  dimostrazione  del  possesso  di adeguate attrezzature tecniche e di adeguato organico;    c) le modalità di qualificazione degli operatori economici di  cui all'articolo 67, comma 1, sulla base del criterio del cumulo  nonché i criteri di imputazione di cui all'articolo 67, comma 6;    d)  le  modalità  di  documentazione  delle  pregresse  esperienze professionali, considerando anche  i  lavori  eseguiti  a  favore  di soggetti privati che siano comprovati da idonea documentazione;    e) le modalità di verifica a campione compiute dagli organismi  di attestazione;    f) il periodo di durata dell'attestazione  di  qualificazione  e  i periodi intermedi di verifica del mantenimento dei requisiti;    g) i casi  di  sospensione  e  di  decadenza  dall'attestazione  di qualificazione già rilasciata, prevedendo sanzioni interdittive  nel caso di presentazione  di  falsa  documentazione  agli  organismi  di attestazione.    9. Relativamente agli organismi di attestazione, con il regolamento di cui al sesto periodo del comma 4 sono in ogni caso disciplinati:    a) i requisiti soggettivi, organizzativi, finanziari e tecnici  per il conseguimento dell'autorizzazione all'esercizio dell'attività  di qualificazione degli operatori economici  nonché  la  procedura  per ottenere l'autorizzazione;    b) le sanzioni  pecuniarie  e  interdittive,  fino  alla  decadenza dell'autorizzazione, per le violazioni commesse  dagli  organismi  di attestazione, anche alle richieste di informazioni  e  di  atti  loro rivolte dall'ANAC nell'esercizio dell'attività di vigilanza, secondo un criterio di proporzionalità e nel rispetto del contraddittorio;    c) le modalità dell'esercizio dell'attività di vigilanza da parte dell'ANAC;    d)  gli  obblighi  di  conservazione  e  di   pubblicazione   della documentazione in capo agli organismi di attestazione;    e) gli obblighi di comunicazione all'ANAC in capo agli organismi di attestazione.    10. Con il regolamento di cui al  sesto  periodo  del  comma  4  è altresì definita la disciplina della qualificazione degli  operatori economici per gli appalti di  servizi  e  forniture.  Il  regolamento contiene, tra l'altro: la definizione delle tipologie per le quali è possibile una classificazione per valore, la competenza a  rilasciare la relativa  attestazione,  la  procedura  e  le  condizioni  per  la relativa richiesta, il regime sanzionatorio.    11. Fino alla data di entrata in vigore del regolamento di  cui  al sesto periodo del comma 4, per  le  procedure  di  aggiudicazione  di appalti di  servizi  e  forniture,  le  stazioni  appaltanti  possono richiedere agli operatori  economici  quale  requisito  di  capacità economica e finanziaria un fatturato globale non superiore al  doppio del valore stimato dell'appalto, maturato nel triennio  precedente  a quello  di  indizione  della  procedura.  In  caso  di  procedure  di aggiudicazione  suddivise  in  pluralità  di  lotti,  salvo  diversa motivata scelta della stazione appaltante, il fatturato è  richiesto per  ciascun  lotto.  Le  stazioni  appaltanti   possono,   altresì, richiedere agli operatori  economici  quale  requisito  di  capacità tecnica e professionale di  aver  eseguito  nel  precedente  triennio dalla data di indizione della procedura di gara contratti analoghi  a quello in affidamento anche a favore di soggetti privati.    12. Salvo quanto previsto dall'articolo 102 o da leggi speciali, le stazioni  appaltanti  richiedono  esclusivamente   i   requisiti   di partecipazione previsti dal presente articolo.    13. Gli organismi  di  cui  al  comma  4  segnalano  immediatamente all'ANAC i casi  in  cui  gli  operatori  economici,  ai  fini  della qualificazione, rendono dichiarazioni false o producono documenti non veritieri. </w:t>
      </w:r>
    </w:p>
  </w:footnote>
  <w:footnote w:id="5">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Agli operatori economici non possono essere richiesti documenti che comprovano il possesso dei requisiti di partecipazione o altra documentazione utile ai fini dell’aggiudicazione, se questi sono presenti nel fascicolo virtuale dell’operatore economico, sono già in possesso della stazione appaltante, per effetto di una precedente aggiudicazione o conclusione di un accordo quadro, ovvero possono essere acquisiti tramite interoperabilità con la piattaforma digitale nazionale dati di cui all’articolo 50-ter del codice di cui al decreto legislativo n. 82 del 2005 e con le banche dati delle pubbliche amministrazioni.</w:t>
      </w:r>
    </w:p>
  </w:footnote>
  <w:footnote w:id="6">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both"/>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18"/>
          <w:szCs w:val="18"/>
          <w:u w:val="none"/>
          <w:shd w:fill="auto" w:val="clear"/>
          <w:vertAlign w:val="baseline"/>
          <w:rtl w:val="0"/>
        </w:rPr>
        <w:t xml:space="preserve">Ai sensi dell’art.38 del D.P.R. del 28.12.2000, n.445 la dichiarazione è sottoscritta dall'interessato in presenza del dipendente addetto ovvero sottoscritta e presentata all'ufficio competente, unitamente a copia fotostatica non autenticata di un documento di identità del sottoscrittore.</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BF">
    <w:pPr>
      <w:rPr/>
    </w:pPr>
    <w:r w:rsidDel="00000000" w:rsidR="00000000" w:rsidRPr="00000000">
      <w:rPr/>
      <w:drawing>
        <wp:anchor allowOverlap="1" behindDoc="1" distB="0" distT="0" distL="0" distR="0" hidden="0" layoutInCell="1" locked="0" relativeHeight="0" simplePos="0">
          <wp:simplePos x="0" y="0"/>
          <wp:positionH relativeFrom="leftMargin">
            <wp:posOffset>0</wp:posOffset>
          </wp:positionH>
          <wp:positionV relativeFrom="topMargin">
            <wp:posOffset>0</wp:posOffset>
          </wp:positionV>
          <wp:extent cx="7652166" cy="772998"/>
          <wp:effectExtent b="0" l="0" r="0" t="0"/>
          <wp:wrapNone/>
          <wp:docPr id="1986442300"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652166" cy="772998"/>
                  </a:xfrm>
                  <a:prstGeom prst="rect"/>
                  <a:ln/>
                </pic:spPr>
              </pic:pic>
            </a:graphicData>
          </a:graphic>
        </wp:anchor>
      </w:drawing>
    </w:r>
    <w:r w:rsidDel="00000000" w:rsidR="00000000" w:rsidRPr="00000000">
      <w:rPr>
        <w:rtl w:val="0"/>
      </w:rPr>
    </w:r>
  </w:p>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3"/>
      <w:numFmt w:val="bullet"/>
      <w:lvlText w:val="-"/>
      <w:lvlJc w:val="left"/>
      <w:pPr>
        <w:ind w:left="360" w:hanging="36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4">
    <w:lvl w:ilvl="0">
      <w:start w:val="0"/>
      <w:numFmt w:val="bullet"/>
      <w:lvlText w:val="-"/>
      <w:lvlJc w:val="left"/>
      <w:pPr>
        <w:ind w:left="1440" w:hanging="360"/>
      </w:pPr>
      <w:rPr>
        <w:rFonts w:ascii="Times New Roman" w:cs="Times New Roman" w:eastAsia="Times New Roman" w:hAnsi="Times New Roman"/>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abstractNum w:abstractNumId="5">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lowerLetter"/>
      <w:lvlText w:val="%1)"/>
      <w:lvlJc w:val="left"/>
      <w:pPr>
        <w:ind w:left="502" w:hanging="360"/>
      </w:pPr>
      <w:rPr>
        <w:rFonts w:ascii="Times New Roman" w:cs="Times New Roman" w:eastAsia="Times New Roman" w:hAnsi="Times New Roman"/>
        <w:i w:val="0"/>
      </w:rPr>
    </w:lvl>
    <w:lvl w:ilvl="1">
      <w:start w:val="1"/>
      <w:numFmt w:val="lowerLetter"/>
      <w:lvlText w:val="%2."/>
      <w:lvlJc w:val="left"/>
      <w:pPr>
        <w:ind w:left="1440" w:hanging="360"/>
      </w:pPr>
      <w:rPr>
        <w:rFonts w:ascii="Courier New" w:cs="Courier New" w:eastAsia="Courier New" w:hAnsi="Courier New"/>
      </w:rPr>
    </w:lvl>
    <w:lvl w:ilvl="2">
      <w:start w:val="1"/>
      <w:numFmt w:val="upperLetter"/>
      <w:lvlText w:val="%3)"/>
      <w:lvlJc w:val="left"/>
      <w:pPr>
        <w:ind w:left="2385" w:hanging="405"/>
      </w:pPr>
      <w:rPr>
        <w:rFonts w:ascii="Noto Sans Symbols" w:cs="Noto Sans Symbols" w:eastAsia="Noto Sans Symbols" w:hAnsi="Noto Sans Symbols"/>
      </w:rPr>
    </w:lvl>
    <w:lvl w:ilvl="3">
      <w:start w:val="1"/>
      <w:numFmt w:val="decimal"/>
      <w:lvlText w:val="%4."/>
      <w:lvlJc w:val="left"/>
      <w:pPr>
        <w:ind w:left="2880" w:hanging="360"/>
      </w:pPr>
      <w:rPr>
        <w:rFonts w:ascii="Noto Sans Symbols" w:cs="Noto Sans Symbols" w:eastAsia="Noto Sans Symbols" w:hAnsi="Noto Sans Symbols"/>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0"/>
      <w:numFmt w:val="bullet"/>
      <w:lvlText w:val="-"/>
      <w:lvlJc w:val="left"/>
      <w:pPr>
        <w:ind w:left="1068" w:hanging="360"/>
      </w:pPr>
      <w:rPr>
        <w:rFonts w:ascii="Times New Roman" w:cs="Times New Roman" w:eastAsia="Times New Roman" w:hAnsi="Times New Roman"/>
      </w:rPr>
    </w:lvl>
    <w:lvl w:ilvl="1">
      <w:start w:val="1"/>
      <w:numFmt w:val="bullet"/>
      <w:lvlText w:val="o"/>
      <w:lvlJc w:val="left"/>
      <w:pPr>
        <w:ind w:left="1788" w:hanging="360"/>
      </w:pPr>
      <w:rPr>
        <w:rFonts w:ascii="Courier New" w:cs="Courier New" w:eastAsia="Courier New" w:hAnsi="Courier New"/>
      </w:rPr>
    </w:lvl>
    <w:lvl w:ilvl="2">
      <w:start w:val="1"/>
      <w:numFmt w:val="bullet"/>
      <w:lvlText w:val="▪"/>
      <w:lvlJc w:val="left"/>
      <w:pPr>
        <w:ind w:left="2508" w:hanging="360"/>
      </w:pPr>
      <w:rPr>
        <w:rFonts w:ascii="Noto Sans Symbols" w:cs="Noto Sans Symbols" w:eastAsia="Noto Sans Symbols" w:hAnsi="Noto Sans Symbols"/>
      </w:rPr>
    </w:lvl>
    <w:lvl w:ilvl="3">
      <w:start w:val="1"/>
      <w:numFmt w:val="bullet"/>
      <w:lvlText w:val="●"/>
      <w:lvlJc w:val="left"/>
      <w:pPr>
        <w:ind w:left="3228" w:hanging="360"/>
      </w:pPr>
      <w:rPr>
        <w:rFonts w:ascii="Noto Sans Symbols" w:cs="Noto Sans Symbols" w:eastAsia="Noto Sans Symbols" w:hAnsi="Noto Sans Symbols"/>
      </w:rPr>
    </w:lvl>
    <w:lvl w:ilvl="4">
      <w:start w:val="1"/>
      <w:numFmt w:val="bullet"/>
      <w:lvlText w:val="o"/>
      <w:lvlJc w:val="left"/>
      <w:pPr>
        <w:ind w:left="3948" w:hanging="360"/>
      </w:pPr>
      <w:rPr>
        <w:rFonts w:ascii="Courier New" w:cs="Courier New" w:eastAsia="Courier New" w:hAnsi="Courier New"/>
      </w:rPr>
    </w:lvl>
    <w:lvl w:ilvl="5">
      <w:start w:val="1"/>
      <w:numFmt w:val="bullet"/>
      <w:lvlText w:val="▪"/>
      <w:lvlJc w:val="left"/>
      <w:pPr>
        <w:ind w:left="4668" w:hanging="360"/>
      </w:pPr>
      <w:rPr>
        <w:rFonts w:ascii="Noto Sans Symbols" w:cs="Noto Sans Symbols" w:eastAsia="Noto Sans Symbols" w:hAnsi="Noto Sans Symbols"/>
      </w:rPr>
    </w:lvl>
    <w:lvl w:ilvl="6">
      <w:start w:val="1"/>
      <w:numFmt w:val="bullet"/>
      <w:lvlText w:val="●"/>
      <w:lvlJc w:val="left"/>
      <w:pPr>
        <w:ind w:left="5388" w:hanging="360"/>
      </w:pPr>
      <w:rPr>
        <w:rFonts w:ascii="Noto Sans Symbols" w:cs="Noto Sans Symbols" w:eastAsia="Noto Sans Symbols" w:hAnsi="Noto Sans Symbols"/>
      </w:rPr>
    </w:lvl>
    <w:lvl w:ilvl="7">
      <w:start w:val="1"/>
      <w:numFmt w:val="bullet"/>
      <w:lvlText w:val="o"/>
      <w:lvlJc w:val="left"/>
      <w:pPr>
        <w:ind w:left="6108" w:hanging="360"/>
      </w:pPr>
      <w:rPr>
        <w:rFonts w:ascii="Courier New" w:cs="Courier New" w:eastAsia="Courier New" w:hAnsi="Courier New"/>
      </w:rPr>
    </w:lvl>
    <w:lvl w:ilvl="8">
      <w:start w:val="1"/>
      <w:numFmt w:val="bullet"/>
      <w:lvlText w:val="▪"/>
      <w:lvlJc w:val="left"/>
      <w:pPr>
        <w:ind w:left="6828" w:hanging="360"/>
      </w:pPr>
      <w:rPr>
        <w:rFonts w:ascii="Noto Sans Symbols" w:cs="Noto Sans Symbols" w:eastAsia="Noto Sans Symbols" w:hAnsi="Noto Sans Symbols"/>
      </w:rPr>
    </w:lvl>
  </w:abstractNum>
  <w:abstractNum w:abstractNumId="1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it-IT"/>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ind w:left="432" w:hanging="432"/>
    </w:pPr>
    <w:rPr>
      <w:b w:val="1"/>
    </w:rPr>
  </w:style>
  <w:style w:type="paragraph" w:styleId="Heading2">
    <w:name w:val="heading 2"/>
    <w:basedOn w:val="Normal"/>
    <w:next w:val="Normal"/>
    <w:pPr>
      <w:keepNext w:val="1"/>
      <w:ind w:left="576" w:hanging="576"/>
      <w:jc w:val="center"/>
    </w:pPr>
    <w:rPr>
      <w:b w:val="1"/>
    </w:rPr>
  </w:style>
  <w:style w:type="paragraph" w:styleId="Heading3">
    <w:name w:val="heading 3"/>
    <w:basedOn w:val="Normal"/>
    <w:next w:val="Normal"/>
    <w:pPr>
      <w:keepNext w:val="1"/>
      <w:spacing w:after="60" w:before="240" w:lineRule="auto"/>
      <w:ind w:left="720" w:hanging="720"/>
    </w:pPr>
    <w:rPr>
      <w:rFonts w:ascii="Cambria" w:cs="Cambria" w:eastAsia="Cambria" w:hAnsi="Cambria"/>
      <w:b w:val="1"/>
      <w:sz w:val="26"/>
      <w:szCs w:val="26"/>
    </w:rPr>
  </w:style>
  <w:style w:type="paragraph" w:styleId="Heading4">
    <w:name w:val="heading 4"/>
    <w:basedOn w:val="Normal"/>
    <w:next w:val="Normal"/>
    <w:pPr>
      <w:keepNext w:val="1"/>
      <w:spacing w:after="60" w:before="240" w:lineRule="auto"/>
      <w:ind w:left="864" w:hanging="864"/>
    </w:pPr>
    <w:rPr>
      <w:rFonts w:ascii="Calibri" w:cs="Calibri" w:eastAsia="Calibri" w:hAnsi="Calibri"/>
      <w:b w:val="1"/>
      <w:sz w:val="28"/>
      <w:szCs w:val="28"/>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table" w:styleId="TableGrid">
    <w:name w:val="Table Grid"/>
    <w:basedOn w:val="TableNormal"/>
    <w:tblPr>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Pr>
  </w:style>
  <w:style w:type="paragraph" w:styleId="Normale" w:default="1">
    <w:name w:val="Normal"/>
    <w:qFormat w:val="1"/>
    <w:pPr>
      <w:suppressAutoHyphens w:val="1"/>
      <w:spacing/>
    </w:pPr>
    <w:rPr>
      <w:sz w:val="24"/>
      <w:szCs w:val="24"/>
      <w:lang w:eastAsia="ar-SA"/>
    </w:rPr>
  </w:style>
  <w:style w:type="paragraph" w:styleId="Titolo1">
    <w:name w:val="Heading 1"/>
    <w:basedOn w:val="Normale"/>
    <w:next w:val="Normale"/>
    <w:qFormat w:val="1"/>
    <w:pPr>
      <w:keepNext w:val="1"/>
      <w:numPr>
        <w:numId w:val="1"/>
      </w:numPr>
      <w:spacing/>
      <w:outlineLvl w:val="0"/>
    </w:pPr>
    <w:rPr>
      <w:b w:val="1"/>
      <w:bCs w:val="1"/>
      <w:lang w:val="de-DE"/>
    </w:rPr>
  </w:style>
  <w:style w:type="paragraph" w:styleId="Titolo2">
    <w:name w:val="Heading 2"/>
    <w:basedOn w:val="Normale"/>
    <w:next w:val="Normale"/>
    <w:qFormat w:val="1"/>
    <w:pPr>
      <w:keepNext w:val="1"/>
      <w:numPr>
        <w:ilvl w:val="1"/>
        <w:numId w:val="1"/>
      </w:numPr>
      <w:autoSpaceDE w:val="0"/>
      <w:spacing/>
      <w:jc w:val="center"/>
      <w:outlineLvl w:val="1"/>
    </w:pPr>
    <w:rPr>
      <w:b w:val="1"/>
      <w:bCs w:val="1"/>
      <w:szCs w:val="28"/>
    </w:rPr>
  </w:style>
  <w:style w:type="paragraph" w:styleId="Titolo3">
    <w:name w:val="Heading 3"/>
    <w:basedOn w:val="Normale"/>
    <w:next w:val="Normale"/>
    <w:qFormat w:val="1"/>
    <w:pPr>
      <w:keepNext w:val="1"/>
      <w:numPr>
        <w:ilvl w:val="2"/>
        <w:numId w:val="1"/>
      </w:numPr>
      <w:spacing w:after="60" w:before="240"/>
      <w:outlineLvl w:val="2"/>
    </w:pPr>
    <w:rPr>
      <w:rFonts w:ascii="Cambria" w:hAnsi="Cambria"/>
      <w:b w:val="1"/>
      <w:bCs w:val="1"/>
      <w:sz w:val="26"/>
      <w:szCs w:val="26"/>
    </w:rPr>
  </w:style>
  <w:style w:type="paragraph" w:styleId="Titolo4">
    <w:name w:val="Heading 4"/>
    <w:basedOn w:val="Normale"/>
    <w:next w:val="Normale"/>
    <w:qFormat w:val="1"/>
    <w:pPr>
      <w:keepNext w:val="1"/>
      <w:numPr>
        <w:ilvl w:val="3"/>
        <w:numId w:val="1"/>
      </w:numPr>
      <w:spacing w:after="60" w:before="240"/>
      <w:outlineLvl w:val="3"/>
    </w:pPr>
    <w:rPr>
      <w:rFonts w:ascii="Calibri" w:hAnsi="Calibri"/>
      <w:b w:val="1"/>
      <w:bCs w:val="1"/>
      <w:sz w:val="28"/>
      <w:szCs w:val="28"/>
    </w:rPr>
  </w:style>
  <w:style w:type="character" w:styleId="Carpredefinitoparagrafo" w:default="1">
    <w:name w:val="Default Paragraph Font"/>
    <w:uiPriority w:val="1"/>
    <w:semiHidden w:val="1"/>
    <w:unhideWhenUsed w:val="1"/>
    <w:rPr/>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name w:val="No List"/>
    <w:uiPriority w:val="99"/>
    <w:semiHidden w:val="1"/>
    <w:unhideWhenUsed w:val="1"/>
  </w:style>
  <w:style w:type="character" w:styleId="WW8Num1z0" w:customStyle="1">
    <w:name w:val="WW8Num1z0"/>
    <w:basedOn w:val="Carpredefinitoparagrafo"/>
    <w:rPr>
      <w:i w:val="0"/>
    </w:rPr>
  </w:style>
  <w:style w:type="character" w:styleId="WW8Num1z1" w:customStyle="1">
    <w:name w:val="WW8Num1z1"/>
    <w:basedOn w:val="Carpredefinitoparagrafo"/>
    <w:rPr/>
  </w:style>
  <w:style w:type="character" w:styleId="WW8Num1z2" w:customStyle="1">
    <w:name w:val="WW8Num1z2"/>
    <w:basedOn w:val="Carpredefinitoparagrafo"/>
    <w:rPr/>
  </w:style>
  <w:style w:type="character" w:styleId="WW8Num1z3" w:customStyle="1">
    <w:name w:val="WW8Num1z3"/>
    <w:basedOn w:val="Carpredefinitoparagrafo"/>
    <w:rPr/>
  </w:style>
  <w:style w:type="character" w:styleId="WW8Num1z4" w:customStyle="1">
    <w:name w:val="WW8Num1z4"/>
    <w:basedOn w:val="Carpredefinitoparagrafo"/>
    <w:rPr/>
  </w:style>
  <w:style w:type="character" w:styleId="WW8Num1z5" w:customStyle="1">
    <w:name w:val="WW8Num1z5"/>
    <w:basedOn w:val="Carpredefinitoparagrafo"/>
    <w:rPr/>
  </w:style>
  <w:style w:type="character" w:styleId="WW8Num1z6" w:customStyle="1">
    <w:name w:val="WW8Num1z6"/>
    <w:basedOn w:val="Carpredefinitoparagrafo"/>
    <w:rPr/>
  </w:style>
  <w:style w:type="character" w:styleId="WW8Num1z7" w:customStyle="1">
    <w:name w:val="WW8Num1z7"/>
    <w:basedOn w:val="Carpredefinitoparagrafo"/>
    <w:rPr/>
  </w:style>
  <w:style w:type="character" w:styleId="WW8Num1z8" w:customStyle="1">
    <w:name w:val="WW8Num1z8"/>
    <w:basedOn w:val="Carpredefinitoparagrafo"/>
    <w:rPr/>
  </w:style>
  <w:style w:type="character" w:styleId="WW8Num2z0" w:customStyle="1">
    <w:name w:val="WW8Num2z0"/>
    <w:basedOn w:val="Carpredefinitoparagrafo"/>
    <w:rPr>
      <w:rFonts w:ascii="Times New Roman" w:cs="Times New Roman" w:eastAsia="Times New Roman" w:hAnsi="Times New Roman" w:hint="default"/>
      <w:i w:val="1"/>
    </w:rPr>
  </w:style>
  <w:style w:type="character" w:styleId="WW8Num2z1" w:customStyle="1">
    <w:name w:val="WW8Num2z1"/>
    <w:basedOn w:val="Carpredefinitoparagrafo"/>
    <w:rPr>
      <w:rFonts w:ascii="Courier New" w:cs="Courier New" w:hAnsi="Courier New" w:hint="default"/>
    </w:rPr>
  </w:style>
  <w:style w:type="character" w:styleId="WW8Num2z2" w:customStyle="1">
    <w:name w:val="WW8Num2z2"/>
    <w:basedOn w:val="Carpredefinitoparagrafo"/>
    <w:rPr>
      <w:rFonts w:ascii="Wingdings" w:cs="Wingdings" w:hAnsi="Wingdings" w:hint="default"/>
    </w:rPr>
  </w:style>
  <w:style w:type="character" w:styleId="WW8Num2z3" w:customStyle="1">
    <w:name w:val="WW8Num2z3"/>
    <w:basedOn w:val="Carpredefinitoparagrafo"/>
    <w:rPr>
      <w:rFonts w:ascii="Symbol" w:cs="Symbol" w:hAnsi="Symbol" w:hint="default"/>
    </w:rPr>
  </w:style>
  <w:style w:type="character" w:styleId="WW8Num2z4" w:customStyle="1">
    <w:name w:val="WW8Num2z4"/>
    <w:basedOn w:val="Carpredefinitoparagrafo"/>
    <w:rPr/>
  </w:style>
  <w:style w:type="character" w:styleId="WW8Num2z5" w:customStyle="1">
    <w:name w:val="WW8Num2z5"/>
    <w:basedOn w:val="Carpredefinitoparagrafo"/>
    <w:rPr/>
  </w:style>
  <w:style w:type="character" w:styleId="WW8Num2z6" w:customStyle="1">
    <w:name w:val="WW8Num2z6"/>
    <w:basedOn w:val="Carpredefinitoparagrafo"/>
    <w:rPr/>
  </w:style>
  <w:style w:type="character" w:styleId="WW8Num2z7" w:customStyle="1">
    <w:name w:val="WW8Num2z7"/>
    <w:basedOn w:val="Carpredefinitoparagrafo"/>
    <w:rPr/>
  </w:style>
  <w:style w:type="character" w:styleId="WW8Num2z8" w:customStyle="1">
    <w:name w:val="WW8Num2z8"/>
    <w:basedOn w:val="Carpredefinitoparagrafo"/>
    <w:rPr/>
  </w:style>
  <w:style w:type="character" w:styleId="WW8Num3z0" w:customStyle="1">
    <w:name w:val="WW8Num3z0"/>
    <w:basedOn w:val="Carpredefinitoparagrafo"/>
    <w:rPr>
      <w:rFonts w:ascii="Times New Roman" w:cs="Times New Roman" w:hAnsi="Times New Roman" w:hint="default"/>
      <w:b w:val="1"/>
      <w:i w:val="0"/>
      <w:sz w:val="28"/>
      <w:szCs w:val="24"/>
    </w:rPr>
  </w:style>
  <w:style w:type="character" w:styleId="WW8Num4z0" w:customStyle="1">
    <w:name w:val="WW8Num4z0"/>
    <w:basedOn w:val="Carpredefinitoparagrafo"/>
    <w:rPr>
      <w:rFonts w:ascii="Symbol" w:cs="Times New Roman" w:hAnsi="Symbol" w:hint="default"/>
      <w:caps w:val="0"/>
      <w:smallCaps w:val="0"/>
      <w:strike w:val="0"/>
      <w:dstrike w:val="0"/>
      <w:vanish w:val="0"/>
      <w:color w:val="000000"/>
      <w:position w:val="0"/>
      <w:sz w:val="24"/>
      <w:szCs w:val="22"/>
      <w:vertAlign w:val="baseline"/>
      <w14:shadow w14:algn="none">
        <w14:srgbClr w14:val="000000"/>
      </w14:shadow>
      <w14:textOutline w14:cap="rnd" w14:cmpd="sng" w14:algn="ctr">
        <w14:noFill/>
        <w14:prstDash w14:val="solid"/>
        <w14:bevel/>
      </w14:textOutline>
    </w:rPr>
  </w:style>
  <w:style w:type="character" w:styleId="WW8Num5z0" w:customStyle="1">
    <w:name w:val="WW8Num5z0"/>
    <w:basedOn w:val="Carpredefinitoparagrafo"/>
    <w:rPr>
      <w:rFonts w:ascii="Times New Roman" w:cs="Times New Roman" w:hAnsi="Times New Roman" w:hint="default"/>
    </w:rPr>
  </w:style>
  <w:style w:type="character" w:styleId="WW8Num6z0" w:customStyle="1">
    <w:name w:val="WW8Num6z0"/>
    <w:basedOn w:val="Carpredefinitoparagrafo"/>
    <w:rPr>
      <w:rFonts w:ascii="Times New Roman" w:cs="Times New Roman" w:eastAsia="Times New Roman" w:hAnsi="Times New Roman" w:hint="default"/>
    </w:rPr>
  </w:style>
  <w:style w:type="character" w:styleId="WW8Num3z1" w:customStyle="1">
    <w:name w:val="WW8Num3z1"/>
    <w:basedOn w:val="Carpredefinitoparagrafo"/>
    <w:rPr/>
  </w:style>
  <w:style w:type="character" w:styleId="WW8Num3z2" w:customStyle="1">
    <w:name w:val="WW8Num3z2"/>
    <w:basedOn w:val="Carpredefinitoparagrafo"/>
    <w:rPr/>
  </w:style>
  <w:style w:type="character" w:styleId="WW8Num3z3" w:customStyle="1">
    <w:name w:val="WW8Num3z3"/>
    <w:basedOn w:val="Carpredefinitoparagrafo"/>
    <w:rPr/>
  </w:style>
  <w:style w:type="character" w:styleId="WW8Num3z4" w:customStyle="1">
    <w:name w:val="WW8Num3z4"/>
    <w:basedOn w:val="Carpredefinitoparagrafo"/>
    <w:rPr/>
  </w:style>
  <w:style w:type="character" w:styleId="WW8Num3z5" w:customStyle="1">
    <w:name w:val="WW8Num3z5"/>
    <w:basedOn w:val="Carpredefinitoparagrafo"/>
    <w:rPr/>
  </w:style>
  <w:style w:type="character" w:styleId="WW8Num3z6" w:customStyle="1">
    <w:name w:val="WW8Num3z6"/>
    <w:basedOn w:val="Carpredefinitoparagrafo"/>
    <w:rPr/>
  </w:style>
  <w:style w:type="character" w:styleId="WW8Num3z7" w:customStyle="1">
    <w:name w:val="WW8Num3z7"/>
    <w:basedOn w:val="Carpredefinitoparagrafo"/>
    <w:rPr/>
  </w:style>
  <w:style w:type="character" w:styleId="WW8Num3z8" w:customStyle="1">
    <w:name w:val="WW8Num3z8"/>
    <w:basedOn w:val="Carpredefinitoparagrafo"/>
    <w:rPr/>
  </w:style>
  <w:style w:type="character" w:styleId="WW8Num4z1" w:customStyle="1">
    <w:name w:val="WW8Num4z1"/>
    <w:basedOn w:val="Carpredefinitoparagrafo"/>
    <w:rPr>
      <w:rFonts w:ascii="Wingdings" w:cs="Times New Roman" w:hAnsi="Wingdings" w:hint="default"/>
    </w:rPr>
  </w:style>
  <w:style w:type="character" w:styleId="WW8Num4z2" w:customStyle="1">
    <w:name w:val="WW8Num4z2"/>
    <w:basedOn w:val="Carpredefinitoparagrafo"/>
    <w:rPr>
      <w:rFonts w:ascii="Wingdings" w:cs="Wingdings" w:hAnsi="Wingdings" w:hint="default"/>
    </w:rPr>
  </w:style>
  <w:style w:type="character" w:styleId="WW8Num4z3" w:customStyle="1">
    <w:name w:val="WW8Num4z3"/>
    <w:basedOn w:val="Carpredefinitoparagrafo"/>
    <w:rPr>
      <w:rFonts w:ascii="Symbol" w:cs="Symbol" w:hAnsi="Symbol" w:hint="default"/>
    </w:rPr>
  </w:style>
  <w:style w:type="character" w:styleId="WW8Num4z4" w:customStyle="1">
    <w:name w:val="WW8Num4z4"/>
    <w:basedOn w:val="Carpredefinitoparagrafo"/>
    <w:rPr>
      <w:rFonts w:ascii="Courier New" w:cs="Courier New" w:hAnsi="Courier New" w:hint="default"/>
    </w:rPr>
  </w:style>
  <w:style w:type="character" w:styleId="WW8Num5z1" w:customStyle="1">
    <w:name w:val="WW8Num5z1"/>
    <w:basedOn w:val="Carpredefinitoparagrafo"/>
    <w:rPr>
      <w:rFonts w:ascii="Courier New" w:cs="Courier New" w:hAnsi="Courier New" w:hint="default"/>
    </w:rPr>
  </w:style>
  <w:style w:type="character" w:styleId="WW8Num5z2" w:customStyle="1">
    <w:name w:val="WW8Num5z2"/>
    <w:basedOn w:val="Carpredefinitoparagrafo"/>
    <w:rPr>
      <w:rFonts w:ascii="Wingdings" w:cs="Wingdings" w:hAnsi="Wingdings" w:hint="default"/>
    </w:rPr>
  </w:style>
  <w:style w:type="character" w:styleId="WW8Num5z3" w:customStyle="1">
    <w:name w:val="WW8Num5z3"/>
    <w:basedOn w:val="Carpredefinitoparagrafo"/>
    <w:rPr>
      <w:rFonts w:ascii="Symbol" w:cs="Symbol" w:hAnsi="Symbol" w:hint="default"/>
    </w:rPr>
  </w:style>
  <w:style w:type="character" w:styleId="WW8Num6z1" w:customStyle="1">
    <w:name w:val="WW8Num6z1"/>
    <w:basedOn w:val="Carpredefinitoparagrafo"/>
    <w:rPr>
      <w:rFonts w:ascii="Courier New" w:cs="Courier New" w:hAnsi="Courier New" w:hint="default"/>
    </w:rPr>
  </w:style>
  <w:style w:type="character" w:styleId="WW8Num6z2" w:customStyle="1">
    <w:name w:val="WW8Num6z2"/>
    <w:basedOn w:val="Carpredefinitoparagrafo"/>
    <w:rPr>
      <w:rFonts w:ascii="Wingdings" w:cs="Wingdings" w:hAnsi="Wingdings" w:hint="default"/>
    </w:rPr>
  </w:style>
  <w:style w:type="character" w:styleId="WW8Num6z3" w:customStyle="1">
    <w:name w:val="WW8Num6z3"/>
    <w:basedOn w:val="Carpredefinitoparagrafo"/>
    <w:rPr>
      <w:rFonts w:ascii="Symbol" w:cs="Symbol" w:hAnsi="Symbol" w:hint="default"/>
    </w:rPr>
  </w:style>
  <w:style w:type="character" w:styleId="WW8Num7z0" w:customStyle="1">
    <w:name w:val="WW8Num7z0"/>
    <w:basedOn w:val="Carpredefinitoparagrafo"/>
    <w:rPr>
      <w:rFonts w:ascii="Times New Roman" w:cs="Times New Roman" w:hAnsi="Times New Roman" w:hint="default"/>
      <w:sz w:val="22"/>
      <w:szCs w:val="22"/>
    </w:rPr>
  </w:style>
  <w:style w:type="character" w:styleId="WW8Num7z1" w:customStyle="1">
    <w:name w:val="WW8Num7z1"/>
    <w:basedOn w:val="Carpredefinitoparagrafo"/>
    <w:rPr>
      <w:rFonts w:ascii="Courier New" w:cs="Courier New" w:hAnsi="Courier New" w:hint="default"/>
    </w:rPr>
  </w:style>
  <w:style w:type="character" w:styleId="WW8Num7z2" w:customStyle="1">
    <w:name w:val="WW8Num7z2"/>
    <w:basedOn w:val="Carpredefinitoparagrafo"/>
    <w:rPr>
      <w:rFonts w:ascii="Wingdings" w:cs="Wingdings" w:hAnsi="Wingdings" w:hint="default"/>
    </w:rPr>
  </w:style>
  <w:style w:type="character" w:styleId="WW8Num7z3" w:customStyle="1">
    <w:name w:val="WW8Num7z3"/>
    <w:basedOn w:val="Carpredefinitoparagrafo"/>
    <w:rPr>
      <w:rFonts w:ascii="Symbol" w:cs="Symbol" w:hAnsi="Symbol" w:hint="default"/>
    </w:rPr>
  </w:style>
  <w:style w:type="character" w:styleId="WW8Num8z0" w:customStyle="1">
    <w:name w:val="WW8Num8z0"/>
    <w:basedOn w:val="Carpredefinitoparagrafo"/>
    <w:rPr>
      <w:rFonts w:hint="default"/>
    </w:rPr>
  </w:style>
  <w:style w:type="character" w:styleId="WW8Num9z0" w:customStyle="1">
    <w:name w:val="WW8Num9z0"/>
    <w:basedOn w:val="Carpredefinitoparagrafo"/>
    <w:rPr>
      <w:rFonts w:ascii="Wingdings" w:cs="Wingdings" w:hAnsi="Wingdings" w:hint="default"/>
      <w:sz w:val="16"/>
    </w:rPr>
  </w:style>
  <w:style w:type="character" w:styleId="WW8Num9z1" w:customStyle="1">
    <w:name w:val="WW8Num9z1"/>
    <w:basedOn w:val="Carpredefinitoparagrafo"/>
    <w:rPr>
      <w:rFonts w:ascii="Courier New" w:cs="Courier New" w:hAnsi="Courier New" w:hint="default"/>
    </w:rPr>
  </w:style>
  <w:style w:type="character" w:styleId="WW8Num9z2" w:customStyle="1">
    <w:name w:val="WW8Num9z2"/>
    <w:basedOn w:val="Carpredefinitoparagrafo"/>
    <w:rPr>
      <w:rFonts w:ascii="Wingdings" w:cs="Wingdings" w:hAnsi="Wingdings" w:hint="default"/>
    </w:rPr>
  </w:style>
  <w:style w:type="character" w:styleId="WW8Num9z3" w:customStyle="1">
    <w:name w:val="WW8Num9z3"/>
    <w:basedOn w:val="Carpredefinitoparagrafo"/>
    <w:rPr>
      <w:rFonts w:ascii="Symbol" w:cs="Symbol" w:hAnsi="Symbol" w:hint="default"/>
    </w:rPr>
  </w:style>
  <w:style w:type="character" w:styleId="WW8Num10z0" w:customStyle="1">
    <w:name w:val="WW8Num10z0"/>
    <w:basedOn w:val="Carpredefinitoparagrafo"/>
    <w:rPr>
      <w:rFonts w:ascii="Times New Roman" w:cs="Times New Roman" w:hAnsi="Times New Roman" w:hint="default"/>
      <w:b w:val="1"/>
      <w:bCs w:val="1"/>
      <w:sz w:val="28"/>
      <w:szCs w:val="24"/>
    </w:rPr>
  </w:style>
  <w:style w:type="character" w:styleId="WW8Num10z1" w:customStyle="1">
    <w:name w:val="WW8Num10z1"/>
    <w:basedOn w:val="Carpredefinitoparagrafo"/>
    <w:rPr>
      <w:rFonts w:hint="default"/>
      <w:b w:val="0"/>
    </w:rPr>
  </w:style>
  <w:style w:type="character" w:styleId="WW8Num10z2" w:customStyle="1">
    <w:name w:val="WW8Num10z2"/>
    <w:basedOn w:val="Carpredefinitoparagrafo"/>
    <w:rPr>
      <w:rFonts w:ascii="Symbol" w:cs="Symbol" w:hAnsi="Symbol" w:hint="default"/>
    </w:rPr>
  </w:style>
  <w:style w:type="character" w:styleId="WW8Num10z3" w:customStyle="1">
    <w:name w:val="WW8Num10z3"/>
    <w:basedOn w:val="Carpredefinitoparagrafo"/>
    <w:rPr/>
  </w:style>
  <w:style w:type="character" w:styleId="WW8Num10z4" w:customStyle="1">
    <w:name w:val="WW8Num10z4"/>
    <w:basedOn w:val="Carpredefinitoparagrafo"/>
    <w:rPr/>
  </w:style>
  <w:style w:type="character" w:styleId="WW8Num10z5" w:customStyle="1">
    <w:name w:val="WW8Num10z5"/>
    <w:basedOn w:val="Carpredefinitoparagrafo"/>
    <w:rPr/>
  </w:style>
  <w:style w:type="character" w:styleId="WW8Num10z6" w:customStyle="1">
    <w:name w:val="WW8Num10z6"/>
    <w:basedOn w:val="Carpredefinitoparagrafo"/>
    <w:rPr/>
  </w:style>
  <w:style w:type="character" w:styleId="WW8Num10z7" w:customStyle="1">
    <w:name w:val="WW8Num10z7"/>
    <w:basedOn w:val="Carpredefinitoparagrafo"/>
    <w:rPr/>
  </w:style>
  <w:style w:type="character" w:styleId="WW8Num10z8" w:customStyle="1">
    <w:name w:val="WW8Num10z8"/>
    <w:basedOn w:val="Carpredefinitoparagrafo"/>
    <w:rPr/>
  </w:style>
  <w:style w:type="character" w:styleId="WW8Num11z0" w:customStyle="1">
    <w:name w:val="WW8Num11z0"/>
    <w:basedOn w:val="Carpredefinitoparagrafo"/>
    <w:rPr>
      <w:rFonts w:ascii="Wingdings" w:cs="Wingdings" w:hAnsi="Wingdings" w:hint="default"/>
    </w:rPr>
  </w:style>
  <w:style w:type="character" w:styleId="WW8Num11z1" w:customStyle="1">
    <w:name w:val="WW8Num11z1"/>
    <w:basedOn w:val="Carpredefinitoparagrafo"/>
    <w:rPr>
      <w:rFonts w:ascii="Courier New" w:cs="Courier New" w:hAnsi="Courier New" w:hint="default"/>
    </w:rPr>
  </w:style>
  <w:style w:type="character" w:styleId="WW8Num11z3" w:customStyle="1">
    <w:name w:val="WW8Num11z3"/>
    <w:basedOn w:val="Carpredefinitoparagrafo"/>
    <w:rPr>
      <w:rFonts w:ascii="Symbol" w:cs="Symbol" w:hAnsi="Symbol" w:hint="default"/>
    </w:rPr>
  </w:style>
  <w:style w:type="character" w:styleId="WW8Num12z0" w:customStyle="1">
    <w:name w:val="WW8Num12z0"/>
    <w:basedOn w:val="Carpredefinitoparagrafo"/>
    <w:rPr>
      <w:rFonts w:ascii="Wingdings" w:cs="Wingdings" w:hAnsi="Wingdings" w:hint="default"/>
    </w:rPr>
  </w:style>
  <w:style w:type="character" w:styleId="WW8Num12z1" w:customStyle="1">
    <w:name w:val="WW8Num12z1"/>
    <w:basedOn w:val="Carpredefinitoparagrafo"/>
    <w:rPr>
      <w:rFonts w:ascii="Courier New" w:cs="Courier New" w:hAnsi="Courier New" w:hint="default"/>
    </w:rPr>
  </w:style>
  <w:style w:type="character" w:styleId="WW8Num12z3" w:customStyle="1">
    <w:name w:val="WW8Num12z3"/>
    <w:basedOn w:val="Carpredefinitoparagrafo"/>
    <w:rPr>
      <w:rFonts w:ascii="Symbol" w:cs="Symbol" w:hAnsi="Symbol" w:hint="default"/>
    </w:rPr>
  </w:style>
  <w:style w:type="character" w:styleId="WW8Num13z0" w:customStyle="1">
    <w:name w:val="WW8Num13z0"/>
    <w:basedOn w:val="Carpredefinitoparagrafo"/>
    <w:rPr>
      <w:rFonts w:ascii="Times New Roman" w:cs="Times New Roman" w:hAnsi="Times New Roman" w:hint="default"/>
    </w:rPr>
  </w:style>
  <w:style w:type="character" w:styleId="WW8Num13z1" w:customStyle="1">
    <w:name w:val="WW8Num13z1"/>
    <w:basedOn w:val="Carpredefinitoparagrafo"/>
    <w:rPr>
      <w:rFonts w:ascii="Courier New" w:cs="Courier New" w:hAnsi="Courier New" w:hint="default"/>
    </w:rPr>
  </w:style>
  <w:style w:type="character" w:styleId="WW8Num13z2" w:customStyle="1">
    <w:name w:val="WW8Num13z2"/>
    <w:basedOn w:val="Carpredefinitoparagrafo"/>
    <w:rPr>
      <w:rFonts w:ascii="Wingdings" w:cs="Wingdings" w:hAnsi="Wingdings" w:hint="default"/>
    </w:rPr>
  </w:style>
  <w:style w:type="character" w:styleId="WW8Num13z3" w:customStyle="1">
    <w:name w:val="WW8Num13z3"/>
    <w:basedOn w:val="Carpredefinitoparagrafo"/>
    <w:rPr>
      <w:rFonts w:ascii="Symbol" w:cs="Symbol" w:hAnsi="Symbol" w:hint="default"/>
    </w:rPr>
  </w:style>
  <w:style w:type="character" w:styleId="WW8Num14z0" w:customStyle="1">
    <w:name w:val="WW8Num14z0"/>
    <w:basedOn w:val="Carpredefinitoparagrafo"/>
    <w:rPr>
      <w:rFonts w:ascii="Symbol" w:cs="Symbol" w:hAnsi="Symbol" w:hint="default"/>
    </w:rPr>
  </w:style>
  <w:style w:type="character" w:styleId="WW8Num14z1" w:customStyle="1">
    <w:name w:val="WW8Num14z1"/>
    <w:basedOn w:val="Carpredefinitoparagrafo"/>
    <w:rPr>
      <w:rFonts w:ascii="Courier New" w:cs="Courier New" w:hAnsi="Courier New" w:hint="default"/>
    </w:rPr>
  </w:style>
  <w:style w:type="character" w:styleId="WW8Num14z5" w:customStyle="1">
    <w:name w:val="WW8Num14z5"/>
    <w:basedOn w:val="Carpredefinitoparagrafo"/>
    <w:rPr>
      <w:rFonts w:ascii="Wingdings" w:cs="Wingdings" w:hAnsi="Wingdings" w:hint="default"/>
    </w:rPr>
  </w:style>
  <w:style w:type="character" w:styleId="WW8Num15z0" w:customStyle="1">
    <w:name w:val="WW8Num15z0"/>
    <w:basedOn w:val="Carpredefinitoparagrafo"/>
    <w:rPr>
      <w:rFonts w:hint="default"/>
    </w:rPr>
  </w:style>
  <w:style w:type="character" w:styleId="WW8Num15z1" w:customStyle="1">
    <w:name w:val="WW8Num15z1"/>
    <w:basedOn w:val="Carpredefinitoparagrafo"/>
    <w:rPr>
      <w:rFonts w:ascii="Courier New" w:cs="Courier New" w:hAnsi="Courier New" w:hint="default"/>
    </w:rPr>
  </w:style>
  <w:style w:type="character" w:styleId="WW8Num15z2" w:customStyle="1">
    <w:name w:val="WW8Num15z2"/>
    <w:basedOn w:val="Carpredefinitoparagrafo"/>
    <w:rPr>
      <w:rFonts w:ascii="ComicSansMS" w:cs="ComicSansMS" w:eastAsia="Calibri" w:hAnsi="ComicSansMS" w:hint="default"/>
    </w:rPr>
  </w:style>
  <w:style w:type="character" w:styleId="WW8Num15z3" w:customStyle="1">
    <w:name w:val="WW8Num15z3"/>
    <w:basedOn w:val="Carpredefinitoparagrafo"/>
    <w:rPr/>
  </w:style>
  <w:style w:type="character" w:styleId="WW8Num15z4" w:customStyle="1">
    <w:name w:val="WW8Num15z4"/>
    <w:basedOn w:val="Carpredefinitoparagrafo"/>
    <w:rPr/>
  </w:style>
  <w:style w:type="character" w:styleId="WW8Num15z5" w:customStyle="1">
    <w:name w:val="WW8Num15z5"/>
    <w:basedOn w:val="Carpredefinitoparagrafo"/>
    <w:rPr/>
  </w:style>
  <w:style w:type="character" w:styleId="WW8Num15z6" w:customStyle="1">
    <w:name w:val="WW8Num15z6"/>
    <w:basedOn w:val="Carpredefinitoparagrafo"/>
    <w:rPr/>
  </w:style>
  <w:style w:type="character" w:styleId="WW8Num15z7" w:customStyle="1">
    <w:name w:val="WW8Num15z7"/>
    <w:basedOn w:val="Carpredefinitoparagrafo"/>
    <w:rPr/>
  </w:style>
  <w:style w:type="character" w:styleId="WW8Num15z8" w:customStyle="1">
    <w:name w:val="WW8Num15z8"/>
    <w:basedOn w:val="Carpredefinitoparagrafo"/>
    <w:rPr/>
  </w:style>
  <w:style w:type="character" w:styleId="WW8Num16z0" w:customStyle="1">
    <w:name w:val="WW8Num16z0"/>
    <w:basedOn w:val="Carpredefinitoparagrafo"/>
    <w:rPr>
      <w:rFonts w:ascii="Times New Roman" w:cs="Times New Roman" w:hAnsi="Times New Roman" w:hint="default"/>
    </w:rPr>
  </w:style>
  <w:style w:type="character" w:styleId="WW8Num16z1" w:customStyle="1">
    <w:name w:val="WW8Num16z1"/>
    <w:basedOn w:val="Carpredefinitoparagrafo"/>
    <w:rPr/>
  </w:style>
  <w:style w:type="character" w:styleId="WW8Num16z2" w:customStyle="1">
    <w:name w:val="WW8Num16z2"/>
    <w:basedOn w:val="Carpredefinitoparagrafo"/>
    <w:rPr>
      <w:rFonts w:hint="default"/>
      <w:b w:val="1"/>
    </w:rPr>
  </w:style>
  <w:style w:type="character" w:styleId="WW8Num16z3" w:customStyle="1">
    <w:name w:val="WW8Num16z3"/>
    <w:basedOn w:val="Carpredefinitoparagrafo"/>
    <w:rPr/>
  </w:style>
  <w:style w:type="character" w:styleId="WW8Num16z4" w:customStyle="1">
    <w:name w:val="WW8Num16z4"/>
    <w:basedOn w:val="Carpredefinitoparagrafo"/>
    <w:rPr/>
  </w:style>
  <w:style w:type="character" w:styleId="WW8Num16z5" w:customStyle="1">
    <w:name w:val="WW8Num16z5"/>
    <w:basedOn w:val="Carpredefinitoparagrafo"/>
    <w:rPr/>
  </w:style>
  <w:style w:type="character" w:styleId="WW8Num16z6" w:customStyle="1">
    <w:name w:val="WW8Num16z6"/>
    <w:basedOn w:val="Carpredefinitoparagrafo"/>
    <w:rPr/>
  </w:style>
  <w:style w:type="character" w:styleId="WW8Num16z7" w:customStyle="1">
    <w:name w:val="WW8Num16z7"/>
    <w:basedOn w:val="Carpredefinitoparagrafo"/>
    <w:rPr/>
  </w:style>
  <w:style w:type="character" w:styleId="WW8Num16z8" w:customStyle="1">
    <w:name w:val="WW8Num16z8"/>
    <w:basedOn w:val="Carpredefinitoparagrafo"/>
    <w:rPr/>
  </w:style>
  <w:style w:type="character" w:styleId="WW8Num17z0" w:customStyle="1">
    <w:name w:val="WW8Num17z0"/>
    <w:basedOn w:val="Carpredefinitoparagrafo"/>
    <w:rPr>
      <w:rFonts w:ascii="Symbol" w:cs="Times New Roman" w:hAnsi="Symbol" w:hint="default"/>
      <w:caps w:val="0"/>
      <w:smallCaps w:val="0"/>
      <w:strike w:val="0"/>
      <w:dstrike w:val="0"/>
      <w:vanish w:val="0"/>
      <w:color w:val="000000"/>
      <w:position w:val="0"/>
      <w:sz w:val="24"/>
      <w:vertAlign w:val="baseline"/>
      <w14:shadow w14:algn="none">
        <w14:srgbClr w14:val="000000"/>
      </w14:shadow>
      <w14:textOutline w14:cap="rnd" w14:cmpd="sng" w14:algn="ctr">
        <w14:noFill/>
        <w14:prstDash w14:val="solid"/>
        <w14:bevel/>
      </w14:textOutline>
    </w:rPr>
  </w:style>
  <w:style w:type="character" w:styleId="WW8Num17z1" w:customStyle="1">
    <w:name w:val="WW8Num17z1"/>
    <w:basedOn w:val="Carpredefinitoparagrafo"/>
    <w:rPr>
      <w:rFonts w:ascii="Courier New" w:cs="Courier New" w:hAnsi="Courier New" w:hint="default"/>
    </w:rPr>
  </w:style>
  <w:style w:type="character" w:styleId="WW8Num17z2" w:customStyle="1">
    <w:name w:val="WW8Num17z2"/>
    <w:basedOn w:val="Carpredefinitoparagrafo"/>
    <w:rPr>
      <w:rFonts w:ascii="Wingdings" w:cs="Wingdings" w:hAnsi="Wingdings" w:hint="default"/>
    </w:rPr>
  </w:style>
  <w:style w:type="character" w:styleId="WW8Num17z3" w:customStyle="1">
    <w:name w:val="WW8Num17z3"/>
    <w:basedOn w:val="Carpredefinitoparagrafo"/>
    <w:rPr>
      <w:rFonts w:ascii="Symbol" w:cs="Symbol" w:hAnsi="Symbol" w:hint="default"/>
    </w:rPr>
  </w:style>
  <w:style w:type="character" w:styleId="WW8Num18z0" w:customStyle="1">
    <w:name w:val="WW8Num18z0"/>
    <w:basedOn w:val="Carpredefinitoparagrafo"/>
    <w:rPr>
      <w:rFonts w:hint="default"/>
    </w:rPr>
  </w:style>
  <w:style w:type="character" w:styleId="WW8Num18z1" w:customStyle="1">
    <w:name w:val="WW8Num18z1"/>
    <w:basedOn w:val="Carpredefinitoparagrafo"/>
    <w:rPr/>
  </w:style>
  <w:style w:type="character" w:styleId="WW8Num18z2" w:customStyle="1">
    <w:name w:val="WW8Num18z2"/>
    <w:basedOn w:val="Carpredefinitoparagrafo"/>
    <w:rPr/>
  </w:style>
  <w:style w:type="character" w:styleId="WW8Num18z3" w:customStyle="1">
    <w:name w:val="WW8Num18z3"/>
    <w:basedOn w:val="Carpredefinitoparagrafo"/>
    <w:rPr/>
  </w:style>
  <w:style w:type="character" w:styleId="WW8Num18z4" w:customStyle="1">
    <w:name w:val="WW8Num18z4"/>
    <w:basedOn w:val="Carpredefinitoparagrafo"/>
    <w:rPr/>
  </w:style>
  <w:style w:type="character" w:styleId="WW8Num18z5" w:customStyle="1">
    <w:name w:val="WW8Num18z5"/>
    <w:basedOn w:val="Carpredefinitoparagrafo"/>
    <w:rPr/>
  </w:style>
  <w:style w:type="character" w:styleId="WW8Num18z6" w:customStyle="1">
    <w:name w:val="WW8Num18z6"/>
    <w:basedOn w:val="Carpredefinitoparagrafo"/>
    <w:rPr/>
  </w:style>
  <w:style w:type="character" w:styleId="WW8Num18z7" w:customStyle="1">
    <w:name w:val="WW8Num18z7"/>
    <w:basedOn w:val="Carpredefinitoparagrafo"/>
    <w:rPr/>
  </w:style>
  <w:style w:type="character" w:styleId="WW8Num18z8" w:customStyle="1">
    <w:name w:val="WW8Num18z8"/>
    <w:basedOn w:val="Carpredefinitoparagrafo"/>
    <w:rPr/>
  </w:style>
  <w:style w:type="character" w:styleId="WW8Num19z0" w:customStyle="1">
    <w:name w:val="WW8Num19z0"/>
    <w:basedOn w:val="Carpredefinitoparagrafo"/>
    <w:rPr>
      <w:rFonts w:ascii="Symbol" w:cs="Times New Roman" w:hAnsi="Symbol" w:hint="default"/>
      <w:caps w:val="0"/>
      <w:smallCaps w:val="0"/>
      <w:strike w:val="0"/>
      <w:dstrike w:val="0"/>
      <w:vanish w:val="0"/>
      <w:color w:val="000000"/>
      <w:position w:val="0"/>
      <w:sz w:val="24"/>
      <w:vertAlign w:val="baseline"/>
      <w14:shadow w14:algn="none">
        <w14:srgbClr w14:val="000000"/>
      </w14:shadow>
      <w14:textOutline w14:cap="rnd" w14:cmpd="sng" w14:algn="ctr">
        <w14:noFill/>
        <w14:prstDash w14:val="solid"/>
        <w14:bevel/>
      </w14:textOutline>
    </w:rPr>
  </w:style>
  <w:style w:type="character" w:styleId="WW8Num19z1" w:customStyle="1">
    <w:name w:val="WW8Num19z1"/>
    <w:basedOn w:val="Carpredefinitoparagrafo"/>
    <w:rPr>
      <w:rFonts w:ascii="Times New Roman" w:cs="Times New Roman" w:hAnsi="Times New Roman" w:hint="default"/>
      <w:sz w:val="28"/>
      <w:szCs w:val="24"/>
    </w:rPr>
  </w:style>
  <w:style w:type="character" w:styleId="WW8Num19z2" w:customStyle="1">
    <w:name w:val="WW8Num19z2"/>
    <w:basedOn w:val="Carpredefinitoparagrafo"/>
    <w:rPr>
      <w:rFonts w:hint="default"/>
    </w:rPr>
  </w:style>
  <w:style w:type="character" w:styleId="WW8Num19z3" w:customStyle="1">
    <w:name w:val="WW8Num19z3"/>
    <w:basedOn w:val="Carpredefinitoparagrafo"/>
    <w:rPr>
      <w:rFonts w:ascii="Symbol" w:cs="Symbol" w:hAnsi="Symbol" w:hint="default"/>
    </w:rPr>
  </w:style>
  <w:style w:type="character" w:styleId="WW8Num19z4" w:customStyle="1">
    <w:name w:val="WW8Num19z4"/>
    <w:basedOn w:val="Carpredefinitoparagrafo"/>
    <w:rPr>
      <w:rFonts w:ascii="Courier New" w:cs="Courier New" w:hAnsi="Courier New" w:hint="default"/>
    </w:rPr>
  </w:style>
  <w:style w:type="character" w:styleId="WW8Num19z5" w:customStyle="1">
    <w:name w:val="WW8Num19z5"/>
    <w:basedOn w:val="Carpredefinitoparagrafo"/>
    <w:rPr>
      <w:rFonts w:ascii="Wingdings" w:cs="Wingdings" w:hAnsi="Wingdings" w:hint="default"/>
    </w:rPr>
  </w:style>
  <w:style w:type="character" w:styleId="WW8Num20z0" w:customStyle="1">
    <w:name w:val="WW8Num20z0"/>
    <w:basedOn w:val="Carpredefinitoparagrafo"/>
    <w:rPr/>
  </w:style>
  <w:style w:type="character" w:styleId="WW8Num20z1" w:customStyle="1">
    <w:name w:val="WW8Num20z1"/>
    <w:basedOn w:val="Carpredefinitoparagrafo"/>
    <w:rPr>
      <w:rFonts w:ascii="Wingdings" w:cs="Wingdings" w:hAnsi="Wingdings" w:hint="default"/>
    </w:rPr>
  </w:style>
  <w:style w:type="character" w:styleId="WW8Num20z2" w:customStyle="1">
    <w:name w:val="WW8Num20z2"/>
    <w:basedOn w:val="Carpredefinitoparagrafo"/>
    <w:rPr>
      <w:rFonts w:hint="default"/>
    </w:rPr>
  </w:style>
  <w:style w:type="character" w:styleId="WW8Num20z3" w:customStyle="1">
    <w:name w:val="WW8Num20z3"/>
    <w:basedOn w:val="Carpredefinitoparagrafo"/>
    <w:rPr/>
  </w:style>
  <w:style w:type="character" w:styleId="WW8Num20z4" w:customStyle="1">
    <w:name w:val="WW8Num20z4"/>
    <w:basedOn w:val="Carpredefinitoparagrafo"/>
    <w:rPr/>
  </w:style>
  <w:style w:type="character" w:styleId="WW8Num20z5" w:customStyle="1">
    <w:name w:val="WW8Num20z5"/>
    <w:basedOn w:val="Carpredefinitoparagrafo"/>
    <w:rPr/>
  </w:style>
  <w:style w:type="character" w:styleId="WW8Num20z6" w:customStyle="1">
    <w:name w:val="WW8Num20z6"/>
    <w:basedOn w:val="Carpredefinitoparagrafo"/>
    <w:rPr/>
  </w:style>
  <w:style w:type="character" w:styleId="WW8Num20z7" w:customStyle="1">
    <w:name w:val="WW8Num20z7"/>
    <w:basedOn w:val="Carpredefinitoparagrafo"/>
    <w:rPr/>
  </w:style>
  <w:style w:type="character" w:styleId="WW8Num20z8" w:customStyle="1">
    <w:name w:val="WW8Num20z8"/>
    <w:basedOn w:val="Carpredefinitoparagrafo"/>
    <w:rPr/>
  </w:style>
  <w:style w:type="character" w:styleId="WW8Num21z0" w:customStyle="1">
    <w:name w:val="WW8Num21z0"/>
    <w:basedOn w:val="Carpredefinitoparagrafo"/>
    <w:rPr>
      <w:rFonts w:ascii="Wingdings" w:cs="Wingdings" w:hAnsi="Wingdings" w:hint="default"/>
    </w:rPr>
  </w:style>
  <w:style w:type="character" w:styleId="WW8Num21z1" w:customStyle="1">
    <w:name w:val="WW8Num21z1"/>
    <w:basedOn w:val="Carpredefinitoparagrafo"/>
    <w:rPr>
      <w:rFonts w:ascii="Courier New" w:cs="Courier New" w:hAnsi="Courier New" w:hint="default"/>
    </w:rPr>
  </w:style>
  <w:style w:type="character" w:styleId="WW8Num21z3" w:customStyle="1">
    <w:name w:val="WW8Num21z3"/>
    <w:basedOn w:val="Carpredefinitoparagrafo"/>
    <w:rPr>
      <w:rFonts w:ascii="Symbol" w:cs="Symbol" w:hAnsi="Symbol" w:hint="default"/>
    </w:rPr>
  </w:style>
  <w:style w:type="character" w:styleId="WW8Num22z0" w:customStyle="1">
    <w:name w:val="WW8Num22z0"/>
    <w:basedOn w:val="Carpredefinitoparagrafo"/>
    <w:rPr/>
  </w:style>
  <w:style w:type="character" w:styleId="WW8Num22z1" w:customStyle="1">
    <w:name w:val="WW8Num22z1"/>
    <w:basedOn w:val="Carpredefinitoparagrafo"/>
    <w:rPr>
      <w:rFonts w:ascii="Symbol" w:cs="Symbol" w:hAnsi="Symbol" w:hint="default"/>
    </w:rPr>
  </w:style>
  <w:style w:type="character" w:styleId="WW8Num22z4" w:customStyle="1">
    <w:name w:val="WW8Num22z4"/>
    <w:basedOn w:val="Carpredefinitoparagrafo"/>
    <w:rPr/>
  </w:style>
  <w:style w:type="character" w:styleId="WW8Num22z5" w:customStyle="1">
    <w:name w:val="WW8Num22z5"/>
    <w:basedOn w:val="Carpredefinitoparagrafo"/>
    <w:rPr/>
  </w:style>
  <w:style w:type="character" w:styleId="WW8Num22z6" w:customStyle="1">
    <w:name w:val="WW8Num22z6"/>
    <w:basedOn w:val="Carpredefinitoparagrafo"/>
    <w:rPr/>
  </w:style>
  <w:style w:type="character" w:styleId="WW8Num22z7" w:customStyle="1">
    <w:name w:val="WW8Num22z7"/>
    <w:basedOn w:val="Carpredefinitoparagrafo"/>
    <w:rPr/>
  </w:style>
  <w:style w:type="character" w:styleId="WW8Num22z8" w:customStyle="1">
    <w:name w:val="WW8Num22z8"/>
    <w:basedOn w:val="Carpredefinitoparagrafo"/>
    <w:rPr/>
  </w:style>
  <w:style w:type="character" w:styleId="WW8Num23z0" w:customStyle="1">
    <w:name w:val="WW8Num23z0"/>
    <w:basedOn w:val="Carpredefinitoparagrafo"/>
    <w:rPr>
      <w:rFonts w:ascii="Symbol" w:cs="Symbol" w:hAnsi="Symbol" w:hint="default"/>
    </w:rPr>
  </w:style>
  <w:style w:type="character" w:styleId="WW8Num23z1" w:customStyle="1">
    <w:name w:val="WW8Num23z1"/>
    <w:basedOn w:val="Carpredefinitoparagrafo"/>
    <w:rPr>
      <w:rFonts w:ascii="Courier New" w:cs="Courier New" w:hAnsi="Courier New" w:hint="default"/>
    </w:rPr>
  </w:style>
  <w:style w:type="character" w:styleId="WW8Num23z2" w:customStyle="1">
    <w:name w:val="WW8Num23z2"/>
    <w:basedOn w:val="Carpredefinitoparagrafo"/>
    <w:rPr>
      <w:rFonts w:ascii="Wingdings" w:cs="Wingdings" w:hAnsi="Wingdings" w:hint="default"/>
    </w:rPr>
  </w:style>
  <w:style w:type="character" w:styleId="WW8Num24z0" w:customStyle="1">
    <w:name w:val="WW8Num24z0"/>
    <w:basedOn w:val="Carpredefinitoparagrafo"/>
    <w:rPr>
      <w:rFonts w:hint="default"/>
    </w:rPr>
  </w:style>
  <w:style w:type="character" w:styleId="WW8Num24z1" w:customStyle="1">
    <w:name w:val="WW8Num24z1"/>
    <w:basedOn w:val="Carpredefinitoparagrafo"/>
    <w:rPr>
      <w:rFonts w:ascii="Times New Roman" w:cs="Times New Roman" w:eastAsia="Times New Roman" w:hAnsi="Times New Roman" w:hint="default"/>
    </w:rPr>
  </w:style>
  <w:style w:type="character" w:styleId="WW8Num24z2" w:customStyle="1">
    <w:name w:val="WW8Num24z2"/>
    <w:basedOn w:val="Carpredefinitoparagrafo"/>
    <w:rPr>
      <w:rFonts w:hint="default"/>
      <w:b w:val="1"/>
    </w:rPr>
  </w:style>
  <w:style w:type="character" w:styleId="WW8Num24z3" w:customStyle="1">
    <w:name w:val="WW8Num24z3"/>
    <w:basedOn w:val="Carpredefinitoparagrafo"/>
    <w:rPr>
      <w:rFonts w:ascii="Monotype Sorts" w:cs="Times New Roman" w:eastAsia="Times New Roman" w:hAnsi="Monotype Sorts" w:hint="default"/>
      <w:b w:val="1"/>
    </w:rPr>
  </w:style>
  <w:style w:type="character" w:styleId="WW8Num24z4" w:customStyle="1">
    <w:name w:val="WW8Num24z4"/>
    <w:basedOn w:val="Carpredefinitoparagrafo"/>
    <w:rPr/>
  </w:style>
  <w:style w:type="character" w:styleId="WW8Num24z5" w:customStyle="1">
    <w:name w:val="WW8Num24z5"/>
    <w:basedOn w:val="Carpredefinitoparagrafo"/>
    <w:rPr/>
  </w:style>
  <w:style w:type="character" w:styleId="WW8Num24z6" w:customStyle="1">
    <w:name w:val="WW8Num24z6"/>
    <w:basedOn w:val="Carpredefinitoparagrafo"/>
    <w:rPr/>
  </w:style>
  <w:style w:type="character" w:styleId="WW8Num24z7" w:customStyle="1">
    <w:name w:val="WW8Num24z7"/>
    <w:basedOn w:val="Carpredefinitoparagrafo"/>
    <w:rPr/>
  </w:style>
  <w:style w:type="character" w:styleId="WW8Num24z8" w:customStyle="1">
    <w:name w:val="WW8Num24z8"/>
    <w:basedOn w:val="Carpredefinitoparagrafo"/>
    <w:rPr/>
  </w:style>
  <w:style w:type="character" w:styleId="WW8Num25z0" w:customStyle="1">
    <w:name w:val="WW8Num25z0"/>
    <w:basedOn w:val="Carpredefinitoparagrafo"/>
    <w:rPr/>
  </w:style>
  <w:style w:type="character" w:styleId="WW8Num26z0" w:customStyle="1">
    <w:name w:val="WW8Num26z0"/>
    <w:basedOn w:val="Carpredefinitoparagrafo"/>
    <w:rPr>
      <w:rFonts w:ascii="Wingdings" w:cs="Wingdings" w:hAnsi="Wingdings" w:hint="default"/>
    </w:rPr>
  </w:style>
  <w:style w:type="character" w:styleId="WW8Num26z1" w:customStyle="1">
    <w:name w:val="WW8Num26z1"/>
    <w:basedOn w:val="Carpredefinitoparagrafo"/>
    <w:rPr>
      <w:rFonts w:ascii="Courier New" w:cs="Courier New" w:hAnsi="Courier New" w:hint="default"/>
    </w:rPr>
  </w:style>
  <w:style w:type="character" w:styleId="WW8Num26z3" w:customStyle="1">
    <w:name w:val="WW8Num26z3"/>
    <w:basedOn w:val="Carpredefinitoparagrafo"/>
    <w:rPr>
      <w:rFonts w:ascii="Symbol" w:cs="Symbol" w:hAnsi="Symbol" w:hint="default"/>
    </w:rPr>
  </w:style>
  <w:style w:type="character" w:styleId="WW8Num27z0" w:customStyle="1">
    <w:name w:val="WW8Num27z0"/>
    <w:basedOn w:val="Carpredefinitoparagrafo"/>
    <w:rPr>
      <w:rFonts w:ascii="Times New Roman" w:cs="Times New Roman" w:eastAsia="Times New Roman" w:hAnsi="Times New Roman" w:hint="default"/>
    </w:rPr>
  </w:style>
  <w:style w:type="character" w:styleId="WW8Num27z1" w:customStyle="1">
    <w:name w:val="WW8Num27z1"/>
    <w:basedOn w:val="Carpredefinitoparagrafo"/>
    <w:rPr>
      <w:rFonts w:ascii="Courier New" w:cs="Courier New" w:hAnsi="Courier New" w:hint="default"/>
    </w:rPr>
  </w:style>
  <w:style w:type="character" w:styleId="WW8Num27z2" w:customStyle="1">
    <w:name w:val="WW8Num27z2"/>
    <w:basedOn w:val="Carpredefinitoparagrafo"/>
    <w:rPr>
      <w:rFonts w:ascii="Wingdings" w:cs="Wingdings" w:hAnsi="Wingdings" w:hint="default"/>
    </w:rPr>
  </w:style>
  <w:style w:type="character" w:styleId="WW8Num27z3" w:customStyle="1">
    <w:name w:val="WW8Num27z3"/>
    <w:basedOn w:val="Carpredefinitoparagrafo"/>
    <w:rPr>
      <w:rFonts w:ascii="Symbol" w:cs="Symbol" w:hAnsi="Symbol" w:hint="default"/>
    </w:rPr>
  </w:style>
  <w:style w:type="character" w:styleId="WW8Num28z0" w:customStyle="1">
    <w:name w:val="WW8Num28z0"/>
    <w:basedOn w:val="Carpredefinitoparagrafo"/>
    <w:rPr>
      <w:rFonts w:hint="default"/>
    </w:rPr>
  </w:style>
  <w:style w:type="character" w:styleId="WW8Num28z2" w:customStyle="1">
    <w:name w:val="WW8Num28z2"/>
    <w:basedOn w:val="Carpredefinitoparagrafo"/>
    <w:rPr/>
  </w:style>
  <w:style w:type="character" w:styleId="WW8Num28z3" w:customStyle="1">
    <w:name w:val="WW8Num28z3"/>
    <w:basedOn w:val="Carpredefinitoparagrafo"/>
    <w:rPr/>
  </w:style>
  <w:style w:type="character" w:styleId="WW8Num28z4" w:customStyle="1">
    <w:name w:val="WW8Num28z4"/>
    <w:basedOn w:val="Carpredefinitoparagrafo"/>
    <w:rPr/>
  </w:style>
  <w:style w:type="character" w:styleId="WW8Num28z5" w:customStyle="1">
    <w:name w:val="WW8Num28z5"/>
    <w:basedOn w:val="Carpredefinitoparagrafo"/>
    <w:rPr/>
  </w:style>
  <w:style w:type="character" w:styleId="WW8Num28z6" w:customStyle="1">
    <w:name w:val="WW8Num28z6"/>
    <w:basedOn w:val="Carpredefinitoparagrafo"/>
    <w:rPr/>
  </w:style>
  <w:style w:type="character" w:styleId="WW8Num28z7" w:customStyle="1">
    <w:name w:val="WW8Num28z7"/>
    <w:basedOn w:val="Carpredefinitoparagrafo"/>
    <w:rPr/>
  </w:style>
  <w:style w:type="character" w:styleId="WW8Num28z8" w:customStyle="1">
    <w:name w:val="WW8Num28z8"/>
    <w:basedOn w:val="Carpredefinitoparagrafo"/>
    <w:rPr/>
  </w:style>
  <w:style w:type="character" w:styleId="WW8Num29z0" w:customStyle="1">
    <w:name w:val="WW8Num29z0"/>
    <w:basedOn w:val="Carpredefinitoparagrafo"/>
    <w:rPr>
      <w:rFonts w:ascii="Symbol" w:cs="Symbol" w:hAnsi="Symbol" w:hint="default"/>
    </w:rPr>
  </w:style>
  <w:style w:type="character" w:styleId="WW8Num29z1" w:customStyle="1">
    <w:name w:val="WW8Num29z1"/>
    <w:basedOn w:val="Carpredefinitoparagrafo"/>
    <w:rPr>
      <w:rFonts w:ascii="Courier New" w:cs="Courier New" w:hAnsi="Courier New" w:hint="default"/>
    </w:rPr>
  </w:style>
  <w:style w:type="character" w:styleId="WW8Num29z2" w:customStyle="1">
    <w:name w:val="WW8Num29z2"/>
    <w:basedOn w:val="Carpredefinitoparagrafo"/>
    <w:rPr>
      <w:rFonts w:ascii="Wingdings" w:cs="Wingdings" w:hAnsi="Wingdings" w:hint="default"/>
    </w:rPr>
  </w:style>
  <w:style w:type="character" w:styleId="WW8Num30z0" w:customStyle="1">
    <w:name w:val="WW8Num30z0"/>
    <w:basedOn w:val="Carpredefinitoparagrafo"/>
    <w:rPr>
      <w:rFonts w:ascii="Times New Roman" w:cs="Times New Roman" w:hAnsi="Times New Roman" w:hint="default"/>
      <w:sz w:val="28"/>
    </w:rPr>
  </w:style>
  <w:style w:type="character" w:styleId="WW8Num30z1" w:customStyle="1">
    <w:name w:val="WW8Num30z1"/>
    <w:basedOn w:val="Carpredefinitoparagrafo"/>
    <w:rPr>
      <w:rFonts w:ascii="Wingdings" w:cs="Times New Roman" w:eastAsia="Arial Unicode MS" w:hAnsi="Wingdings" w:hint="default"/>
    </w:rPr>
  </w:style>
  <w:style w:type="character" w:styleId="WW8Num30z2" w:customStyle="1">
    <w:name w:val="WW8Num30z2"/>
    <w:basedOn w:val="Carpredefinitoparagrafo"/>
    <w:rPr>
      <w:rFonts w:ascii="Wingdings" w:cs="Wingdings" w:hAnsi="Wingdings" w:hint="default"/>
    </w:rPr>
  </w:style>
  <w:style w:type="character" w:styleId="WW8Num30z3" w:customStyle="1">
    <w:name w:val="WW8Num30z3"/>
    <w:basedOn w:val="Carpredefinitoparagrafo"/>
    <w:rPr>
      <w:rFonts w:ascii="Symbol" w:cs="Symbol" w:hAnsi="Symbol" w:hint="default"/>
    </w:rPr>
  </w:style>
  <w:style w:type="character" w:styleId="WW8Num30z4" w:customStyle="1">
    <w:name w:val="WW8Num30z4"/>
    <w:basedOn w:val="Carpredefinitoparagrafo"/>
    <w:rPr>
      <w:rFonts w:ascii="Courier New" w:cs="Courier New" w:hAnsi="Courier New" w:hint="default"/>
    </w:rPr>
  </w:style>
  <w:style w:type="character" w:styleId="WW8NumSt13z1" w:customStyle="1">
    <w:name w:val="WW8NumSt13z1"/>
    <w:basedOn w:val="Carpredefinitoparagrafo"/>
    <w:rPr>
      <w:rFonts w:ascii="Symbol" w:cs="Symbol" w:hAnsi="Symbol" w:hint="default"/>
    </w:rPr>
  </w:style>
  <w:style w:type="character" w:styleId="Carpredefinitoparagrafo1" w:customStyle="1">
    <w:name w:val="Car. predefinito paragrafo1"/>
    <w:basedOn w:val="Carpredefinitoparagrafo"/>
    <w:rPr/>
  </w:style>
  <w:style w:type="character" w:styleId="Caratteredellanota" w:customStyle="1">
    <w:name w:val="Carattere della nota"/>
    <w:basedOn w:val="Carpredefinitoparagrafo"/>
    <w:rPr>
      <w:vertAlign w:val="superscript"/>
    </w:rPr>
  </w:style>
  <w:style w:type="character" w:styleId="Numeropagina">
    <w:name w:val="Page Number"/>
    <w:basedOn w:val="Carpredefinitoparagrafo1"/>
    <w:rPr/>
  </w:style>
  <w:style w:type="character" w:styleId="Collegamentoipertestuale">
    <w:name w:val="Hyperlink"/>
    <w:basedOn w:val="Carpredefinitoparagrafo"/>
    <w:rPr>
      <w:color w:val="0000ff"/>
      <w:u w:val="single"/>
    </w:rPr>
  </w:style>
  <w:style w:type="character" w:styleId="Rientrocorpodeltesto2Carattere" w:customStyle="1">
    <w:name w:val="Rientro corpo del testo 2 Carattere"/>
    <w:basedOn w:val="Carpredefinitoparagrafo"/>
    <w:rPr>
      <w:sz w:val="24"/>
      <w:szCs w:val="24"/>
    </w:rPr>
  </w:style>
  <w:style w:type="character" w:styleId="TestofumettoCarattere" w:customStyle="1">
    <w:name w:val="Testo fumetto Carattere"/>
    <w:basedOn w:val="Carpredefinitoparagrafo"/>
    <w:rPr>
      <w:rFonts w:ascii="Tahoma" w:cs="Tahoma" w:hAnsi="Tahoma"/>
      <w:sz w:val="16"/>
      <w:szCs w:val="16"/>
    </w:rPr>
  </w:style>
  <w:style w:type="character" w:styleId="Titolo3Carattere" w:customStyle="1">
    <w:name w:val="Titolo 3 Carattere"/>
    <w:basedOn w:val="Carpredefinitoparagrafo"/>
    <w:rPr>
      <w:rFonts w:ascii="Cambria" w:cs="Times New Roman" w:eastAsia="Times New Roman" w:hAnsi="Cambria"/>
      <w:b w:val="1"/>
      <w:bCs w:val="1"/>
      <w:sz w:val="26"/>
      <w:szCs w:val="26"/>
    </w:rPr>
  </w:style>
  <w:style w:type="character" w:styleId="Titolo4Carattere" w:customStyle="1">
    <w:name w:val="Titolo 4 Carattere"/>
    <w:basedOn w:val="Carpredefinitoparagrafo"/>
    <w:rPr>
      <w:rFonts w:ascii="Calibri" w:cs="Times New Roman" w:eastAsia="Times New Roman" w:hAnsi="Calibri"/>
      <w:b w:val="1"/>
      <w:bCs w:val="1"/>
      <w:sz w:val="28"/>
      <w:szCs w:val="28"/>
    </w:rPr>
  </w:style>
  <w:style w:type="character" w:styleId="NessunoA" w:customStyle="1">
    <w:name w:val="Nessuno A"/>
    <w:basedOn w:val="Carpredefinitoparagrafo"/>
    <w:rPr/>
  </w:style>
  <w:style w:type="paragraph" w:styleId="Intestazione1" w:customStyle="1">
    <w:name w:val="Intestazione1"/>
    <w:basedOn w:val="Normale"/>
    <w:next w:val="Corpotesto"/>
    <w:pPr>
      <w:keepNext w:val="1"/>
      <w:spacing w:after="120" w:before="240"/>
    </w:pPr>
    <w:rPr>
      <w:rFonts w:ascii="Arial" w:cs="Arial Unicode MS" w:eastAsia="Arial Unicode MS" w:hAnsi="Arial"/>
      <w:sz w:val="28"/>
      <w:szCs w:val="28"/>
    </w:rPr>
  </w:style>
  <w:style w:type="paragraph" w:styleId="Corpotesto">
    <w:name w:val="Body Text"/>
    <w:basedOn w:val="Normale"/>
    <w:pPr>
      <w:spacing/>
      <w:jc w:val="center"/>
    </w:pPr>
    <w:rPr>
      <w:b w:val="1"/>
      <w:bCs w:val="1"/>
      <w:sz w:val="28"/>
    </w:rPr>
  </w:style>
  <w:style w:type="paragraph" w:styleId="Elenco">
    <w:name w:val="List"/>
    <w:basedOn w:val="Corpotesto"/>
    <w:pPr>
      <w:spacing/>
    </w:pPr>
    <w:rPr/>
  </w:style>
  <w:style w:type="paragraph" w:styleId="Didascalia1" w:customStyle="1">
    <w:name w:val="Didascalia1"/>
    <w:basedOn w:val="Normale"/>
    <w:pPr>
      <w:suppressLineNumbers w:val="1"/>
      <w:spacing w:after="120" w:before="120"/>
    </w:pPr>
    <w:rPr>
      <w:i w:val="1"/>
      <w:iCs w:val="1"/>
    </w:rPr>
  </w:style>
  <w:style w:type="paragraph" w:styleId="Indice" w:customStyle="1">
    <w:name w:val="Indice"/>
    <w:basedOn w:val="Normale"/>
    <w:pPr>
      <w:suppressLineNumbers w:val="1"/>
      <w:spacing/>
    </w:pPr>
    <w:rPr/>
  </w:style>
  <w:style w:type="paragraph" w:styleId="sche3" w:customStyle="1">
    <w:name w:val="sche_3"/>
    <w:pPr>
      <w:widowControl w:val="0"/>
      <w:suppressAutoHyphens w:val="1"/>
      <w:overflowPunct w:val="0"/>
      <w:autoSpaceDE w:val="0"/>
      <w:spacing/>
      <w:jc w:val="both"/>
      <w:textAlignment w:val="baseline"/>
    </w:pPr>
    <w:rPr>
      <w:lang w:eastAsia="ar-SA" w:val="en-US"/>
    </w:rPr>
  </w:style>
  <w:style w:type="paragraph" w:styleId="sche22" w:customStyle="1">
    <w:name w:val="sche2_2"/>
    <w:pPr>
      <w:widowControl w:val="0"/>
      <w:suppressAutoHyphens w:val="1"/>
      <w:overflowPunct w:val="0"/>
      <w:autoSpaceDE w:val="0"/>
      <w:spacing/>
      <w:jc w:val="right"/>
      <w:textAlignment w:val="baseline"/>
    </w:pPr>
    <w:rPr>
      <w:lang w:eastAsia="ar-SA" w:val="en-US"/>
    </w:rPr>
  </w:style>
  <w:style w:type="paragraph" w:styleId="sche23" w:customStyle="1">
    <w:name w:val="sche2_3"/>
    <w:pPr>
      <w:widowControl w:val="0"/>
      <w:suppressAutoHyphens w:val="1"/>
      <w:overflowPunct w:val="0"/>
      <w:autoSpaceDE w:val="0"/>
      <w:spacing/>
      <w:jc w:val="right"/>
      <w:textAlignment w:val="baseline"/>
    </w:pPr>
    <w:rPr>
      <w:lang w:eastAsia="ar-SA" w:val="en-US"/>
    </w:rPr>
  </w:style>
  <w:style w:type="paragraph" w:styleId="Testonotaapidipagina">
    <w:name w:val="Footnote Text"/>
    <w:basedOn w:val="Normale"/>
    <w:link w:val="TestonotaapièdipaginaCarattere"/>
    <w:uiPriority w:val="99"/>
    <w:pPr>
      <w:widowControl w:val="0"/>
      <w:overflowPunct w:val="0"/>
      <w:autoSpaceDE w:val="0"/>
      <w:spacing/>
      <w:textAlignment w:val="baseline"/>
    </w:pPr>
    <w:rPr>
      <w:sz w:val="20"/>
      <w:szCs w:val="20"/>
    </w:rPr>
  </w:style>
  <w:style w:type="paragraph" w:styleId="Corpodeltesto21" w:customStyle="1">
    <w:name w:val="Corpo del testo 21"/>
    <w:basedOn w:val="Normale"/>
    <w:pPr>
      <w:overflowPunct w:val="0"/>
      <w:autoSpaceDE w:val="0"/>
      <w:spacing w:line="360" w:lineRule="auto"/>
      <w:ind w:left="425"/>
      <w:jc w:val="both"/>
      <w:textAlignment w:val="baseline"/>
    </w:pPr>
    <w:rPr>
      <w:rFonts w:ascii="Arial" w:cs="Arial" w:hAnsi="Arial"/>
      <w:sz w:val="20"/>
      <w:szCs w:val="20"/>
    </w:rPr>
  </w:style>
  <w:style w:type="paragraph" w:styleId="sche4" w:customStyle="1">
    <w:name w:val="sche_4"/>
    <w:pPr>
      <w:widowControl w:val="0"/>
      <w:suppressAutoHyphens w:val="1"/>
      <w:spacing/>
      <w:jc w:val="both"/>
    </w:pPr>
    <w:rPr>
      <w:lang w:eastAsia="ar-SA" w:val="en-US"/>
    </w:rPr>
  </w:style>
  <w:style w:type="paragraph" w:styleId="Rientrocorpodeltesto">
    <w:name w:val="Body Text Indent"/>
    <w:basedOn w:val="Normale"/>
    <w:pPr>
      <w:tabs>
        <w:tab w:val="left" w:pos="0"/>
        <w:tab w:val="left" w:pos="8496"/>
      </w:tabs>
      <w:spacing w:line="360" w:lineRule="auto"/>
      <w:ind w:left="1068"/>
      <w:jc w:val="both"/>
    </w:pPr>
    <w:rPr>
      <w:spacing w:val="-2"/>
    </w:rPr>
  </w:style>
  <w:style w:type="paragraph" w:styleId="Pidipagina">
    <w:name w:val="Footer"/>
    <w:basedOn w:val="Normale"/>
    <w:pPr>
      <w:tabs>
        <w:tab w:val="center" w:pos="4819"/>
        <w:tab w:val="right" w:pos="9638"/>
      </w:tabs>
      <w:spacing/>
    </w:pPr>
    <w:rPr/>
  </w:style>
  <w:style w:type="paragraph" w:styleId="Intestazione">
    <w:name w:val="Header"/>
    <w:basedOn w:val="Normale"/>
    <w:link w:val="IntestazioneCarattere"/>
    <w:uiPriority w:val="99"/>
    <w:pPr>
      <w:tabs>
        <w:tab w:val="center" w:pos="4819"/>
        <w:tab w:val="right" w:pos="9638"/>
      </w:tabs>
      <w:spacing/>
    </w:pPr>
    <w:rPr/>
  </w:style>
  <w:style w:type="paragraph" w:styleId="Corpodeltesto21_0" w:customStyle="1">
    <w:name w:val="Corpo del testo 21_0"/>
    <w:basedOn w:val="Normale"/>
    <w:pPr>
      <w:spacing/>
      <w:jc w:val="both"/>
    </w:pPr>
    <w:rPr>
      <w:i w:val="1"/>
      <w:szCs w:val="20"/>
    </w:rPr>
  </w:style>
  <w:style w:type="paragraph" w:styleId="Rientrocorpodeltesto22" w:customStyle="1">
    <w:name w:val="Rientro corpo del testo 22"/>
    <w:basedOn w:val="Normale"/>
    <w:pPr>
      <w:spacing w:after="120" w:line="480" w:lineRule="auto"/>
      <w:ind w:left="283"/>
    </w:pPr>
    <w:rPr/>
  </w:style>
  <w:style w:type="paragraph" w:styleId="Paragrafoelenco">
    <w:name w:val="List Paragraph"/>
    <w:basedOn w:val="Normale"/>
    <w:uiPriority w:val="34"/>
    <w:qFormat w:val="1"/>
    <w:pPr>
      <w:spacing w:after="200" w:line="276" w:lineRule="auto"/>
      <w:ind w:left="720"/>
    </w:pPr>
    <w:rPr>
      <w:rFonts w:ascii="Calibri" w:cs="Calibri" w:eastAsia="Calibri" w:hAnsi="Calibri"/>
      <w:sz w:val="22"/>
      <w:szCs w:val="22"/>
    </w:rPr>
  </w:style>
  <w:style w:type="paragraph" w:styleId="Testofumetto">
    <w:name w:val="Balloon Text"/>
    <w:basedOn w:val="Normale"/>
    <w:pPr>
      <w:spacing/>
    </w:pPr>
    <w:rPr>
      <w:rFonts w:ascii="Tahoma" w:cs="Tahoma" w:hAnsi="Tahoma"/>
      <w:sz w:val="16"/>
      <w:szCs w:val="16"/>
    </w:rPr>
  </w:style>
  <w:style w:type="paragraph" w:styleId="art-testo" w:customStyle="1">
    <w:name w:val="art-testo"/>
    <w:basedOn w:val="Normale"/>
    <w:pPr>
      <w:snapToGrid w:val="0"/>
      <w:spacing/>
      <w:jc w:val="both"/>
    </w:pPr>
    <w:rPr>
      <w:szCs w:val="20"/>
    </w:rPr>
  </w:style>
  <w:style w:type="paragraph" w:styleId="legale" w:customStyle="1">
    <w:name w:val="legale"/>
    <w:basedOn w:val="Normale"/>
    <w:pPr>
      <w:spacing w:line="481" w:lineRule="exact"/>
      <w:jc w:val="both"/>
    </w:pPr>
    <w:rPr>
      <w:rFonts w:ascii="Bookman" w:cs="Bookman" w:hAnsi="Bookman"/>
      <w:sz w:val="20"/>
      <w:szCs w:val="20"/>
    </w:rPr>
  </w:style>
  <w:style w:type="paragraph" w:styleId="Rientrocorpodeltesto21" w:customStyle="1">
    <w:name w:val="Rientro corpo del testo 21"/>
    <w:basedOn w:val="Normale"/>
    <w:pPr>
      <w:widowControl w:val="0"/>
      <w:spacing/>
      <w:ind w:left="720" w:hanging="360"/>
      <w:jc w:val="both"/>
    </w:pPr>
    <w:rPr>
      <w:rFonts w:eastAsia="Arial Unicode MS"/>
      <w:b w:val="1"/>
      <w:kern w:val="1"/>
    </w:rPr>
  </w:style>
  <w:style w:type="paragraph" w:styleId="Contenutocornice" w:customStyle="1">
    <w:name w:val="Contenuto cornice"/>
    <w:basedOn w:val="Corpotesto"/>
    <w:pPr>
      <w:spacing/>
    </w:pPr>
    <w:rPr/>
  </w:style>
  <w:style w:type="paragraph" w:styleId="WW-Rigadintestazione" w:customStyle="1">
    <w:name w:val="WW-Riga d'intestazione"/>
    <w:pPr>
      <w:shd w:color="auto" w:fill="ffffff" w:val="clear"/>
      <w:suppressAutoHyphens w:val="1"/>
      <w:spacing w:after="200" w:line="276" w:lineRule="auto"/>
    </w:pPr>
    <w:rPr>
      <w:rFonts w:ascii="Arial" w:cs="Arial Unicode MS" w:eastAsia="Arial Unicode MS" w:hAnsi="Arial"/>
      <w:color w:val="00000a"/>
      <w:kern w:val="1"/>
      <w:sz w:val="22"/>
      <w:szCs w:val="22"/>
      <w:lang w:bidi="hi-IN" w:eastAsia="hi-IN"/>
    </w:rPr>
  </w:style>
  <w:style w:type="character" w:styleId="Rimandonotaapidipagina">
    <w:name w:val="Footnote Reference"/>
    <w:basedOn w:val="Carpredefinitoparagrafo"/>
    <w:uiPriority w:val="99"/>
    <w:semiHidden w:val="1"/>
    <w:unhideWhenUsed w:val="1"/>
    <w:rPr>
      <w:vertAlign w:val="superscript"/>
    </w:rPr>
  </w:style>
  <w:style w:type="character" w:styleId="TestonotaapidipaginaCarattere" w:customStyle="1">
    <w:name w:val="Testo nota a piè di pagina Carattere"/>
    <w:basedOn w:val="Carpredefinitoparagrafo"/>
    <w:link w:val="FootnoteText"/>
    <w:uiPriority w:val="99"/>
    <w:rPr>
      <w:lang w:eastAsia="ar-SA"/>
    </w:rPr>
  </w:style>
  <w:style w:type="paragraph" w:styleId="has-text-align-center" w:customStyle="1">
    <w:name w:val="has-text-align-center"/>
    <w:basedOn w:val="Normale"/>
    <w:pPr>
      <w:suppressAutoHyphens w:val="0"/>
      <w:spacing w:after="100" w:afterAutospacing="1" w:before="100" w:beforeAutospacing="1"/>
    </w:pPr>
    <w:rPr>
      <w:lang w:eastAsia="it-IT"/>
    </w:rPr>
  </w:style>
  <w:style w:type="paragraph" w:styleId="NormaleWeb">
    <w:name w:val="Normal (Web)"/>
    <w:basedOn w:val="Normale"/>
    <w:uiPriority w:val="99"/>
    <w:unhideWhenUsed w:val="1"/>
    <w:pPr>
      <w:suppressAutoHyphens w:val="0"/>
      <w:spacing w:after="100" w:afterAutospacing="1" w:before="100" w:beforeAutospacing="1"/>
    </w:pPr>
    <w:rPr>
      <w:lang w:eastAsia="it-IT"/>
    </w:rPr>
  </w:style>
  <w:style w:type="character" w:styleId="IntestazioneCarattere" w:customStyle="1">
    <w:name w:val="Intestazione Carattere"/>
    <w:basedOn w:val="Carpredefinitoparagrafo"/>
    <w:link w:val="Header"/>
    <w:uiPriority w:val="99"/>
    <w:rPr>
      <w:sz w:val="24"/>
      <w:szCs w:val="24"/>
      <w:lang w:eastAsia="ar-SA"/>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eader" Target="header1.xml"/><Relationship Id="rId13" Type="http://schemas.openxmlformats.org/officeDocument/2006/relationships/footer" Target="footer1.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 Id="rId14" Type="http://schemas.openxmlformats.org/officeDocument/2006/relationships/footer" Target="foot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s://www.luigifadda.it/affidamenti-sottosoglia/"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YgePFWFuwCAdZMtDRYmCW/Vf2w==">CgMxLjAaMAoBMBIrCikIB0IlChFRdWF0dHJvY2VudG8gU2FucxIQQXJpYWwgVW5pY29kZSBNUxowCgExEisKKQgHQiUKEVF1YXR0cm9jZW50byBTYW5zEhBBcmlhbCBVbmljb2RlIE1TMghoLmdqZGd4czIJaC4zMGowemxsOAByITFwOEtDVmNLN3dMU09TUVptTnpRRTJkUklIaTJUVS0zRQ==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2023-10-12T12:56:00Z</dcterms:created>
</cp:coreProperties>
</file>