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left="1260" w:hanging="1260"/>
        <w:jc w:val="center"/>
        <w:rPr>
          <w:b w:val="1"/>
          <w:i w:val="1"/>
          <w:sz w:val="22"/>
          <w:szCs w:val="22"/>
        </w:rPr>
      </w:pPr>
      <w:r w:rsidDel="00000000" w:rsidR="00000000" w:rsidRPr="00000000">
        <w:rPr>
          <w:b w:val="1"/>
          <w:i w:val="1"/>
          <w:sz w:val="22"/>
          <w:szCs w:val="22"/>
          <w:rtl w:val="0"/>
        </w:rPr>
        <w:t xml:space="preserve">DICHIARAZIONE SOSTITUTIVA DI CERTIFICAZIONI/ATTO NOTORIO</w:t>
      </w:r>
    </w:p>
    <w:p w:rsidR="00000000" w:rsidDel="00000000" w:rsidP="00000000" w:rsidRDefault="00000000" w:rsidRPr="00000000" w14:paraId="00000002">
      <w:pPr>
        <w:jc w:val="center"/>
        <w:rPr>
          <w:sz w:val="22"/>
          <w:szCs w:val="22"/>
        </w:rPr>
      </w:pPr>
      <w:r w:rsidDel="00000000" w:rsidR="00000000" w:rsidRPr="00000000">
        <w:rPr>
          <w:b w:val="1"/>
          <w:i w:val="1"/>
          <w:sz w:val="22"/>
          <w:szCs w:val="22"/>
          <w:rtl w:val="0"/>
        </w:rPr>
        <w:t xml:space="preserve">(ART. 46 E 47 D.P.R. 28 DICEMBRE 2000, N. 445)</w:t>
      </w:r>
      <w:r w:rsidDel="00000000" w:rsidR="00000000" w:rsidRPr="00000000">
        <w:rPr>
          <w:rtl w:val="0"/>
        </w:rPr>
      </w:r>
    </w:p>
    <w:p w:rsidR="00000000" w:rsidDel="00000000" w:rsidP="00000000" w:rsidRDefault="00000000" w:rsidRPr="00000000" w14:paraId="00000003">
      <w:pPr>
        <w:jc w:val="center"/>
        <w:rPr>
          <w:sz w:val="22"/>
          <w:szCs w:val="22"/>
        </w:rPr>
      </w:pPr>
      <w:r w:rsidDel="00000000" w:rsidR="00000000" w:rsidRPr="00000000">
        <w:rPr>
          <w:rtl w:val="0"/>
        </w:rPr>
      </w:r>
    </w:p>
    <w:p w:rsidR="00000000" w:rsidDel="00000000" w:rsidP="00000000" w:rsidRDefault="00000000" w:rsidRPr="00000000" w14:paraId="00000004">
      <w:pPr>
        <w:tabs>
          <w:tab w:val="center" w:leader="none" w:pos="4962"/>
        </w:tabs>
        <w:spacing w:after="120" w:lineRule="auto"/>
        <w:jc w:val="both"/>
        <w:rPr>
          <w:b w:val="1"/>
          <w:sz w:val="22"/>
          <w:szCs w:val="22"/>
        </w:rPr>
      </w:pPr>
      <w:r w:rsidDel="00000000" w:rsidR="00000000" w:rsidRPr="00000000">
        <w:rPr>
          <w:rFonts w:ascii="Arial" w:cs="Arial" w:eastAsia="Arial" w:hAnsi="Arial"/>
          <w:b w:val="1"/>
          <w:sz w:val="20"/>
          <w:szCs w:val="20"/>
          <w:rtl w:val="0"/>
        </w:rPr>
        <w:t xml:space="preserve">AFFIDAMENTO DELLA FORNITURA DI POLVERI PER TERMOSPRUZZATURA NELL’AMBITO DEL PIANO NAZIONALE RIPRESA E RESILIENZA (PNRR) MISSIONE 4 COMPONENTE 2 INVESTIMENTO 1.1  - PROGETTO PRIN 2022 GENESIS “finanziato dall'Unione europea – Next Generation EU“ D.D. 966 del 30/6/2023- resp. G. Pulci (Codice UGOV: 000010_23_MAP_PULCI [Codice Progetto: 2022Y7K7FS]) CUP B53D23008970006 Gara XuP id. 777</w:t>
      </w:r>
      <w:r w:rsidDel="00000000" w:rsidR="00000000" w:rsidRPr="00000000">
        <w:rPr>
          <w:rtl w:val="0"/>
        </w:rPr>
      </w:r>
    </w:p>
    <w:p w:rsidR="00000000" w:rsidDel="00000000" w:rsidP="00000000" w:rsidRDefault="00000000" w:rsidRPr="00000000" w14:paraId="00000005">
      <w:pPr>
        <w:jc w:val="both"/>
        <w:rPr>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Il sottoscritto ____________________________________________________________________________</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nato il ________________________a ________________________________________ (_______________)</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residente a __________________________ (_____) Via _________________________________________</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codice fiscale ____________________________________________________________________________</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qualità di _____________________________________________________________________________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dell'Impresa _____________________________________________________________________________</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sede legale in ___________ (_______) Cap ____________ Via _________________________________</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 _______________________ n° di fax_______________ PEC___________________________________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Codice Fiscale dell’Impresa ____________________ Partita IVA dell’Impresa _______________________</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iscritta al Registro delle Imprese, se italiana, della Camera di Commercio di __________________________,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n. _________________________, a decorrere dal _______________________, per l’esercizio dell’attività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w:t>
      </w: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5"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consapevole delle sanzioni penali, nel caso di dichiarazioni non veritiere, di formazione o uso di atti falsi, richiamate dall’art. 76 del D.P.R. 445 del 28 dicembre 2000 e smi, consapevole, altresì, di incorrere nella decadenza dai benefici eventualmente conseguenti al provvedimento emanato dall’amministrazione, qualora in sede di controllo emerga la non veridicità del contenuto della dichiarazione, sotto la propria responsabilità</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DICHIARA</w:t>
      </w:r>
      <w:r w:rsidDel="00000000" w:rsidR="00000000" w:rsidRPr="00000000">
        <w:rPr>
          <w:rtl w:val="0"/>
        </w:rPr>
      </w:r>
    </w:p>
    <w:p w:rsidR="00000000" w:rsidDel="00000000" w:rsidP="00000000" w:rsidRDefault="00000000" w:rsidRPr="00000000" w14:paraId="00000015">
      <w:pPr>
        <w:jc w:val="both"/>
        <w:rPr>
          <w:sz w:val="22"/>
          <w:szCs w:val="22"/>
        </w:rPr>
      </w:pPr>
      <w:r w:rsidDel="00000000" w:rsidR="00000000" w:rsidRPr="00000000">
        <w:rPr>
          <w:rtl w:val="0"/>
        </w:rPr>
      </w:r>
    </w:p>
    <w:p w:rsidR="00000000" w:rsidDel="00000000" w:rsidP="00000000" w:rsidRDefault="00000000" w:rsidRPr="00000000" w14:paraId="00000016">
      <w:pPr>
        <w:jc w:val="both"/>
        <w:rPr>
          <w:sz w:val="22"/>
          <w:szCs w:val="22"/>
        </w:rPr>
      </w:pPr>
      <w:bookmarkStart w:colFirst="0" w:colLast="0" w:name="_heading=h.gjdgxs" w:id="0"/>
      <w:bookmarkEnd w:id="0"/>
      <w:r w:rsidDel="00000000" w:rsidR="00000000" w:rsidRPr="00000000">
        <w:rPr>
          <w:b w:val="1"/>
          <w:sz w:val="22"/>
          <w:szCs w:val="22"/>
          <w:u w:val="single"/>
          <w:rtl w:val="0"/>
        </w:rPr>
        <w:t xml:space="preserve">di non trovarsi in alcuna delle cause di esclusione di cui all’art. 94 del D. Lgs. 36/2023 intitolato “Cause di esclusione automatica” ed in particolare (barrare con “X”):</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0"/>
        </w:tabs>
        <w:spacing w:after="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0"/>
        </w:tabs>
        <w:spacing w:after="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1)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non aver riportato la condanna con sentenza definitiva o decreto penale di condanna divenuto irrevocabile per uno dei seguenti reati:</w:t>
      </w:r>
      <w:r w:rsidDel="00000000" w:rsidR="00000000" w:rsidRPr="00000000">
        <w:rPr>
          <w:rtl w:val="0"/>
        </w:rPr>
      </w:r>
    </w:p>
    <w:p w:rsidR="00000000" w:rsidDel="00000000" w:rsidP="00000000" w:rsidRDefault="00000000" w:rsidRPr="00000000" w14:paraId="00000019">
      <w:pPr>
        <w:numPr>
          <w:ilvl w:val="0"/>
          <w:numId w:val="7"/>
        </w:numPr>
        <w:tabs>
          <w:tab w:val="left" w:leader="none" w:pos="-26476"/>
          <w:tab w:val="left" w:leader="none" w:pos="9638"/>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r w:rsidDel="00000000" w:rsidR="00000000" w:rsidRPr="00000000">
        <w:rPr>
          <w:b w:val="1"/>
          <w:sz w:val="22"/>
          <w:szCs w:val="22"/>
          <w:rtl w:val="0"/>
        </w:rPr>
        <w:t xml:space="preserve">art. 94, comma 1, lett. a</w:t>
      </w:r>
      <w:r w:rsidDel="00000000" w:rsidR="00000000" w:rsidRPr="00000000">
        <w:rPr>
          <w:sz w:val="22"/>
          <w:szCs w:val="22"/>
          <w:rtl w:val="0"/>
        </w:rPr>
        <w:t xml:space="preserve">); </w:t>
      </w:r>
    </w:p>
    <w:p w:rsidR="00000000" w:rsidDel="00000000" w:rsidP="00000000" w:rsidRDefault="00000000" w:rsidRPr="00000000" w14:paraId="0000001A">
      <w:pPr>
        <w:numPr>
          <w:ilvl w:val="0"/>
          <w:numId w:val="7"/>
        </w:numPr>
        <w:tabs>
          <w:tab w:val="left" w:leader="none" w:pos="-26476"/>
          <w:tab w:val="left" w:leader="none" w:pos="9638"/>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di cui agli articoli 317, 318, 319, 319-ter, 319-quater, 320, 321, 322, 322-bis, 346-bis, 353, 353-bis, 354, 355 e 356 del codice penale nonché all'articolo 2635 del codice civile (</w:t>
      </w:r>
      <w:r w:rsidDel="00000000" w:rsidR="00000000" w:rsidRPr="00000000">
        <w:rPr>
          <w:b w:val="1"/>
          <w:sz w:val="22"/>
          <w:szCs w:val="22"/>
          <w:rtl w:val="0"/>
        </w:rPr>
        <w:t xml:space="preserve">art. 94, comma 1, lett. b</w:t>
      </w:r>
      <w:r w:rsidDel="00000000" w:rsidR="00000000" w:rsidRPr="00000000">
        <w:rPr>
          <w:sz w:val="22"/>
          <w:szCs w:val="22"/>
          <w:rtl w:val="0"/>
        </w:rPr>
        <w:t xml:space="preserve">);</w:t>
      </w:r>
    </w:p>
    <w:p w:rsidR="00000000" w:rsidDel="00000000" w:rsidP="00000000" w:rsidRDefault="00000000" w:rsidRPr="00000000" w14:paraId="0000001B">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false comunicazioni sociali di cui agli articoli 2621 e 2622 del codice civile (</w:t>
      </w:r>
      <w:r w:rsidDel="00000000" w:rsidR="00000000" w:rsidRPr="00000000">
        <w:rPr>
          <w:b w:val="1"/>
          <w:sz w:val="22"/>
          <w:szCs w:val="22"/>
          <w:rtl w:val="0"/>
        </w:rPr>
        <w:t xml:space="preserve">art. 94, comma 1, lett. c</w:t>
      </w:r>
      <w:r w:rsidDel="00000000" w:rsidR="00000000" w:rsidRPr="00000000">
        <w:rPr>
          <w:sz w:val="22"/>
          <w:szCs w:val="22"/>
          <w:rtl w:val="0"/>
        </w:rPr>
        <w:t xml:space="preserve">)</w:t>
      </w:r>
      <w:r w:rsidDel="00000000" w:rsidR="00000000" w:rsidRPr="00000000">
        <w:rPr>
          <w:i w:val="1"/>
          <w:sz w:val="22"/>
          <w:szCs w:val="22"/>
          <w:rtl w:val="0"/>
        </w:rPr>
        <w:t xml:space="preserve">;</w:t>
      </w:r>
      <w:r w:rsidDel="00000000" w:rsidR="00000000" w:rsidRPr="00000000">
        <w:rPr>
          <w:rtl w:val="0"/>
        </w:rPr>
      </w:r>
    </w:p>
    <w:p w:rsidR="00000000" w:rsidDel="00000000" w:rsidP="00000000" w:rsidRDefault="00000000" w:rsidRPr="00000000" w14:paraId="0000001C">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frode ai sensi dell'articolo 1 della convenzione relativa alla tutela degli interessi finanziari delle Comunità europee, del 26 luglio 1995; (</w:t>
      </w:r>
      <w:r w:rsidDel="00000000" w:rsidR="00000000" w:rsidRPr="00000000">
        <w:rPr>
          <w:b w:val="1"/>
          <w:sz w:val="22"/>
          <w:szCs w:val="22"/>
          <w:rtl w:val="0"/>
        </w:rPr>
        <w:t xml:space="preserve">art. 94, comma 1, lett. d</w:t>
      </w:r>
      <w:r w:rsidDel="00000000" w:rsidR="00000000" w:rsidRPr="00000000">
        <w:rPr>
          <w:sz w:val="22"/>
          <w:szCs w:val="22"/>
          <w:rtl w:val="0"/>
        </w:rPr>
        <w:t xml:space="preserve">);</w:t>
      </w:r>
    </w:p>
    <w:p w:rsidR="00000000" w:rsidDel="00000000" w:rsidP="00000000" w:rsidRDefault="00000000" w:rsidRPr="00000000" w14:paraId="0000001D">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commessi con finalità di terrorismo, anche internazionale, e di eversione dell'ordine costituzionale reati terroristici o reati connessi alle attività terroristiche (</w:t>
      </w:r>
      <w:r w:rsidDel="00000000" w:rsidR="00000000" w:rsidRPr="00000000">
        <w:rPr>
          <w:b w:val="1"/>
          <w:sz w:val="22"/>
          <w:szCs w:val="22"/>
          <w:rtl w:val="0"/>
        </w:rPr>
        <w:t xml:space="preserve">art. 94, comma 1, lett. e</w:t>
      </w:r>
      <w:r w:rsidDel="00000000" w:rsidR="00000000" w:rsidRPr="00000000">
        <w:rPr>
          <w:sz w:val="22"/>
          <w:szCs w:val="22"/>
          <w:rtl w:val="0"/>
        </w:rPr>
        <w:t xml:space="preserve">);</w:t>
      </w:r>
    </w:p>
    <w:p w:rsidR="00000000" w:rsidDel="00000000" w:rsidP="00000000" w:rsidRDefault="00000000" w:rsidRPr="00000000" w14:paraId="0000001E">
      <w:pPr>
        <w:numPr>
          <w:ilvl w:val="0"/>
          <w:numId w:val="7"/>
        </w:numPr>
        <w:tabs>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di cui agli articoli 648-bis, 648-ter e 648-ter.1 del codice penale, riciclaggio di proventi di attività criminose o finanziamento del terrorismo, quali definiti all'articolo 1 del decreto legislativo 22 giugno 2007, n. 109; (</w:t>
      </w:r>
      <w:r w:rsidDel="00000000" w:rsidR="00000000" w:rsidRPr="00000000">
        <w:rPr>
          <w:b w:val="1"/>
          <w:sz w:val="22"/>
          <w:szCs w:val="22"/>
          <w:rtl w:val="0"/>
        </w:rPr>
        <w:t xml:space="preserve">art. 94, comma 1, lett. f</w:t>
      </w:r>
      <w:r w:rsidDel="00000000" w:rsidR="00000000" w:rsidRPr="00000000">
        <w:rPr>
          <w:sz w:val="22"/>
          <w:szCs w:val="22"/>
          <w:rtl w:val="0"/>
        </w:rPr>
        <w:t xml:space="preserve">);</w:t>
      </w:r>
    </w:p>
    <w:p w:rsidR="00000000" w:rsidDel="00000000" w:rsidP="00000000" w:rsidRDefault="00000000" w:rsidRPr="00000000" w14:paraId="0000001F">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sfruttamento del lavoro minorile e altre forme di tratta di esseri umani definite con il decreto legislativo 4 marzo 2014, n. 24; (</w:t>
      </w:r>
      <w:r w:rsidDel="00000000" w:rsidR="00000000" w:rsidRPr="00000000">
        <w:rPr>
          <w:b w:val="1"/>
          <w:sz w:val="22"/>
          <w:szCs w:val="22"/>
          <w:rtl w:val="0"/>
        </w:rPr>
        <w:t xml:space="preserve">art. 94, comma 1, lett. g</w:t>
      </w:r>
      <w:r w:rsidDel="00000000" w:rsidR="00000000" w:rsidRPr="00000000">
        <w:rPr>
          <w:sz w:val="22"/>
          <w:szCs w:val="22"/>
          <w:rtl w:val="0"/>
        </w:rPr>
        <w:t xml:space="preserve">);</w:t>
      </w:r>
    </w:p>
    <w:p w:rsidR="00000000" w:rsidDel="00000000" w:rsidP="00000000" w:rsidRDefault="00000000" w:rsidRPr="00000000" w14:paraId="00000020">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ogni altro delitto da cui derivi, quale pena accessoria, l'incapacità di contrattare con la pubblica amministrazione (</w:t>
      </w:r>
      <w:r w:rsidDel="00000000" w:rsidR="00000000" w:rsidRPr="00000000">
        <w:rPr>
          <w:b w:val="1"/>
          <w:sz w:val="22"/>
          <w:szCs w:val="22"/>
          <w:rtl w:val="0"/>
        </w:rPr>
        <w:t xml:space="preserve">art.94, comma 1, lett.h)</w:t>
      </w:r>
      <w:r w:rsidDel="00000000" w:rsidR="00000000" w:rsidRPr="00000000">
        <w:rPr>
          <w:rtl w:val="0"/>
        </w:rPr>
      </w:r>
    </w:p>
    <w:p w:rsidR="00000000" w:rsidDel="00000000" w:rsidP="00000000" w:rsidRDefault="00000000" w:rsidRPr="00000000" w14:paraId="00000021">
      <w:pPr>
        <w:rPr>
          <w:sz w:val="22"/>
          <w:szCs w:val="22"/>
        </w:rPr>
      </w:pPr>
      <w:r w:rsidDel="00000000" w:rsidR="00000000" w:rsidRPr="00000000">
        <w:rPr>
          <w:rtl w:val="0"/>
        </w:rPr>
      </w:r>
    </w:p>
    <w:p w:rsidR="00000000" w:rsidDel="00000000" w:rsidP="00000000" w:rsidRDefault="00000000" w:rsidRPr="00000000" w14:paraId="00000022">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2)</w:t>
      </w:r>
      <w:r w:rsidDel="00000000" w:rsidR="00000000" w:rsidRPr="00000000">
        <w:rPr>
          <w:sz w:val="22"/>
          <w:szCs w:val="22"/>
          <w:rtl w:val="0"/>
        </w:rPr>
        <w:t xml:space="preserve"> che non sussistono cause di decadenza, di sospensione o di divieto previste dall'articolo 67 del codice delle leggi antimafia e delle misure di prevenzione, di cui al decreto legislativo 6 settembre 2011, n. 159 o di un tentativo di infiltrazione mafiosa di cui all'articolo 84, comma 4, del medesimo codice</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w:t>
      </w:r>
      <w:r w:rsidDel="00000000" w:rsidR="00000000" w:rsidRPr="00000000">
        <w:rPr>
          <w:b w:val="1"/>
          <w:sz w:val="22"/>
          <w:szCs w:val="22"/>
          <w:rtl w:val="0"/>
        </w:rPr>
        <w:t xml:space="preserve">art. 94, comma 2</w:t>
      </w:r>
      <w:r w:rsidDel="00000000" w:rsidR="00000000" w:rsidRPr="00000000">
        <w:rPr>
          <w:sz w:val="22"/>
          <w:szCs w:val="22"/>
          <w:rtl w:val="0"/>
        </w:rPr>
        <w:t xml:space="preserve">);</w:t>
      </w:r>
    </w:p>
    <w:p w:rsidR="00000000" w:rsidDel="00000000" w:rsidP="00000000" w:rsidRDefault="00000000" w:rsidRPr="00000000" w14:paraId="00000023">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4">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3)</w:t>
      </w:r>
      <w:r w:rsidDel="00000000" w:rsidR="00000000" w:rsidRPr="00000000">
        <w:rPr>
          <w:sz w:val="22"/>
          <w:szCs w:val="22"/>
          <w:rtl w:val="0"/>
        </w:rPr>
        <w:t xml:space="preserve"> </w:t>
      </w:r>
    </w:p>
    <w:p w:rsidR="00000000" w:rsidDel="00000000" w:rsidP="00000000" w:rsidRDefault="00000000" w:rsidRPr="00000000" w14:paraId="0000002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ha presentato la certificazione di cui all'articolo 17 della legge 12 marzo 1999, n. 68, ovvero che ha presentato dichiarazione sostitutiva della sussistenza del medesimo requisito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lett.b</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iscritto nel casellario informatico tenuto dall'ANAC per aver presentato false dichiarazioni o falsa documentazione nelle procedure di gara e negli affidamenti di subappalti; la causa di esclusione perdura fino a quando opera l'iscrizione nel casellario informatico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200" w:before="0" w:line="276" w:lineRule="auto"/>
        <w:ind w:left="851"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solo per lavori pubblici)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iscritto nel casellario informatico tenuto dall'ANAC per aver presentato false dichiarazioni o falsa documentazione ai fini del rilascio dell'attestazione di qualificazione, per il periodo durante il quale perdura l'iscrizione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A">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3)</w:t>
      </w:r>
      <w:r w:rsidDel="00000000" w:rsidR="00000000" w:rsidRPr="00000000">
        <w:rPr>
          <w:sz w:val="22"/>
          <w:szCs w:val="22"/>
          <w:rtl w:val="0"/>
        </w:rPr>
        <w:t xml:space="preserve"> che non ha commesso violazioni gravi, definitivamente accertate, degli obblighi relativi al pagamento delle imposte e tasse o dei contributi previdenziali, secondo la legislazione italiana o quella dello Stato in cui sono stabiliti</w:t>
      </w:r>
      <w:r w:rsidDel="00000000" w:rsidR="00000000" w:rsidRPr="00000000">
        <w:rPr>
          <w:sz w:val="22"/>
          <w:szCs w:val="22"/>
          <w:vertAlign w:val="superscript"/>
        </w:rPr>
        <w:footnoteReference w:customMarkFollows="0" w:id="2"/>
      </w:r>
      <w:r w:rsidDel="00000000" w:rsidR="00000000" w:rsidRPr="00000000">
        <w:rPr>
          <w:sz w:val="22"/>
          <w:szCs w:val="22"/>
          <w:rtl w:val="0"/>
        </w:rPr>
        <w:t xml:space="preserve">(</w:t>
      </w:r>
      <w:r w:rsidDel="00000000" w:rsidR="00000000" w:rsidRPr="00000000">
        <w:rPr>
          <w:b w:val="1"/>
          <w:sz w:val="22"/>
          <w:szCs w:val="22"/>
          <w:rtl w:val="0"/>
        </w:rPr>
        <w:t xml:space="preserve">art. 94, comma 6</w:t>
      </w:r>
      <w:r w:rsidDel="00000000" w:rsidR="00000000" w:rsidRPr="00000000">
        <w:rPr>
          <w:sz w:val="22"/>
          <w:szCs w:val="22"/>
          <w:rtl w:val="0"/>
        </w:rPr>
        <w:t xml:space="preserve">);</w:t>
      </w:r>
    </w:p>
    <w:p w:rsidR="00000000" w:rsidDel="00000000" w:rsidP="00000000" w:rsidRDefault="00000000" w:rsidRPr="00000000" w14:paraId="0000002B">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C">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Il sottoscritto dichiara, altresì, sempre ai sensi dell’art.76 del D.P.R. n. 445/2000 </w:t>
      </w:r>
      <w:r w:rsidDel="00000000" w:rsidR="00000000" w:rsidRPr="00000000">
        <w:rPr>
          <w:b w:val="1"/>
          <w:sz w:val="22"/>
          <w:szCs w:val="22"/>
          <w:u w:val="single"/>
          <w:rtl w:val="0"/>
        </w:rPr>
        <w:t xml:space="preserve">di non trovarsi in alcuna delle cause  di esclusione di cui all’art. 95 del D. Lgs. 36/2023 intitolato “Cause di esclusione NON automatica” ed in particolare (barrare con “X”):</w:t>
      </w:r>
      <w:r w:rsidDel="00000000" w:rsidR="00000000" w:rsidRPr="00000000">
        <w:rPr>
          <w:rtl w:val="0"/>
        </w:rPr>
      </w:r>
    </w:p>
    <w:p w:rsidR="00000000" w:rsidDel="00000000" w:rsidP="00000000" w:rsidRDefault="00000000" w:rsidRPr="00000000" w14:paraId="0000002D">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E">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b w:val="1"/>
          <w:sz w:val="22"/>
          <w:szCs w:val="22"/>
        </w:rPr>
      </w:pPr>
      <w:r w:rsidDel="00000000" w:rsidR="00000000" w:rsidRPr="00000000">
        <w:rPr>
          <w:b w:val="1"/>
          <w:sz w:val="22"/>
          <w:szCs w:val="22"/>
          <w:rtl w:val="0"/>
        </w:rPr>
        <w:t xml:space="preserve">□ 1) </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la partecipazione alla procedura di affidamento /gara di cui trattasi non ha determinato una situazione di conflitto di interesse di cui all’articolo 16 non diversamente risolvibile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lett.b</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sussiste una distorsione della concorrenza non essendo stato coinvolto nella preparazione della procedura d'appalto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l’offerta presentata non è imputabile ad un unico centro decisionale a cagione di accordi intercorsi con altri operatori economici partecipanti alla stessa gara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art.95, comma 1, lett.d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200" w:before="0" w:line="276"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ha commesso un illecito professionale grave, tale da rendere dubbia la sua integrità o affidabilità, dimostrato dalla stazione appaltante con mezzi adeguati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 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4">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 2)</w:t>
      </w:r>
      <w:r w:rsidDel="00000000" w:rsidR="00000000" w:rsidRPr="00000000">
        <w:rPr>
          <w:sz w:val="22"/>
          <w:szCs w:val="22"/>
          <w:rtl w:val="0"/>
        </w:rPr>
        <w:t xml:space="preserve"> che non ha compiuto un illecito professionale grave secondo quanto previsto dall’art.98 del D. Lgs. 36/2023</w:t>
      </w:r>
      <w:r w:rsidDel="00000000" w:rsidR="00000000" w:rsidRPr="00000000">
        <w:rPr>
          <w:sz w:val="22"/>
          <w:szCs w:val="22"/>
          <w:vertAlign w:val="superscript"/>
        </w:rPr>
        <w:footnoteReference w:customMarkFollows="0" w:id="3"/>
      </w:r>
      <w:r w:rsidDel="00000000" w:rsidR="00000000" w:rsidRPr="00000000">
        <w:rPr>
          <w:sz w:val="22"/>
          <w:szCs w:val="22"/>
          <w:rtl w:val="0"/>
        </w:rPr>
        <w:t xml:space="preserve">. </w:t>
      </w:r>
    </w:p>
    <w:p w:rsidR="00000000" w:rsidDel="00000000" w:rsidP="00000000" w:rsidRDefault="00000000" w:rsidRPr="00000000" w14:paraId="00000035">
      <w:pPr>
        <w:tabs>
          <w:tab w:val="left" w:leader="none" w:pos="9639"/>
          <w:tab w:val="left" w:leader="none" w:pos="10076"/>
          <w:tab w:val="left" w:leader="none" w:pos="10992"/>
          <w:tab w:val="left" w:leader="none" w:pos="11908"/>
          <w:tab w:val="left" w:leader="none" w:pos="12824"/>
          <w:tab w:val="left" w:leader="none" w:pos="13740"/>
          <w:tab w:val="left" w:leader="none" w:pos="14656"/>
        </w:tabs>
        <w:jc w:val="center"/>
        <w:rPr>
          <w:b w:val="1"/>
          <w:sz w:val="22"/>
          <w:szCs w:val="22"/>
        </w:rPr>
      </w:pPr>
      <w:r w:rsidDel="00000000" w:rsidR="00000000" w:rsidRPr="00000000">
        <w:rPr>
          <w:b w:val="1"/>
          <w:sz w:val="22"/>
          <w:szCs w:val="22"/>
          <w:rtl w:val="0"/>
        </w:rPr>
        <w:t xml:space="preserve">DICHIARA</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ffffff"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essere in possesso dei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REQUISITI DI ORDINE SPECIALE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(idoneità professionale, capacità economica e finanziaria e capacità tecniche e professionali) previsti dall’articolo 100 del D.Lgs. 36/2023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ovvero, di essere iscritto nel registro della camera di commercio, industria, artigianato e agricoltura o nel registro delle commissioni provinciali per l'artigianato o presso i competenti ordini professionali per un'attività pertinente anche se non coincidente con l'oggetto dell'appalto. Segnatamente dichiara che: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L'Impresa è iscritta, per attività inerenti l’oggetto della fornitura, al Registro delle Imprese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presso la CCIAA di ___________________________________________________ al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n.______________________________________________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Gli amministratori muniti di rappresentanza sono (indicare Nome, Cognome e codice fiscale):</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L’Impresa ha n. ______________ dipendenti afferenti le seguenti posizioni: </w:t>
      </w:r>
    </w:p>
    <w:p w:rsidR="00000000" w:rsidDel="00000000" w:rsidP="00000000" w:rsidRDefault="00000000" w:rsidRPr="00000000" w14:paraId="0000004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INPS matricola n. _________________________ sede competente ___________________________________________ </w:t>
      </w:r>
    </w:p>
    <w:p w:rsidR="00000000" w:rsidDel="00000000" w:rsidP="00000000" w:rsidRDefault="00000000" w:rsidRPr="00000000" w14:paraId="000000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INAIL codice n. ______________________________</w:t>
      </w:r>
    </w:p>
    <w:p w:rsidR="00000000" w:rsidDel="00000000" w:rsidP="00000000" w:rsidRDefault="00000000" w:rsidRPr="00000000" w14:paraId="0000004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Cassa Edile __________________________________</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0" w:hanging="28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essere in regola alla data del ___________________________ con i versamenti INPS e INAIL;</w:t>
      </w:r>
    </w:p>
    <w:p w:rsidR="00000000" w:rsidDel="00000000" w:rsidP="00000000" w:rsidRDefault="00000000" w:rsidRPr="00000000" w14:paraId="000000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esistono inadempienze in atto e rettifiche notificate, non contestate o non pagate ovvero, che è stata conseguita procedura di sanatoria, positivamente definita con atto dell'ente interessato del quale si forniscono gli estremi:_____________________________________.</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non avere alle proprie dipendenze, ai sensi dell’art. 53 c. 16 ter del d.lgs. n. 165/2001, personale cessato dal rapporto di pubblico impiego da meno di tre anni, che abbia esercitato poteri autoritativi o negoziali per conto delle pubbliche amministrazioni;</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spacing w:line="360" w:lineRule="auto"/>
        <w:jc w:val="center"/>
        <w:rPr>
          <w:sz w:val="22"/>
          <w:szCs w:val="22"/>
        </w:rPr>
      </w:pPr>
      <w:r w:rsidDel="00000000" w:rsidR="00000000" w:rsidRPr="00000000">
        <w:rPr>
          <w:b w:val="1"/>
          <w:sz w:val="22"/>
          <w:szCs w:val="22"/>
          <w:rtl w:val="0"/>
        </w:rPr>
        <w:t xml:space="preserve">COMUNICA</w:t>
      </w:r>
      <w:r w:rsidDel="00000000" w:rsidR="00000000" w:rsidRPr="00000000">
        <w:rPr>
          <w:rtl w:val="0"/>
        </w:rPr>
      </w:r>
    </w:p>
    <w:p w:rsidR="00000000" w:rsidDel="00000000" w:rsidP="00000000" w:rsidRDefault="00000000" w:rsidRPr="00000000" w14:paraId="0000004A">
      <w:pPr>
        <w:numPr>
          <w:ilvl w:val="0"/>
          <w:numId w:val="5"/>
        </w:numPr>
        <w:spacing w:after="160" w:line="360" w:lineRule="auto"/>
        <w:ind w:left="284" w:hanging="284"/>
        <w:rPr>
          <w:sz w:val="22"/>
          <w:szCs w:val="22"/>
        </w:rPr>
      </w:pPr>
      <w:r w:rsidDel="00000000" w:rsidR="00000000" w:rsidRPr="00000000">
        <w:rPr>
          <w:sz w:val="22"/>
          <w:szCs w:val="22"/>
          <w:rtl w:val="0"/>
        </w:rPr>
        <w:t xml:space="preserve">in attuazione dell’art. 3, comma 7, della L. 136/2010 e ss.mm.ii.:</w:t>
      </w:r>
    </w:p>
    <w:p w:rsidR="00000000" w:rsidDel="00000000" w:rsidP="00000000" w:rsidRDefault="00000000" w:rsidRPr="00000000" w14:paraId="0000004B">
      <w:pPr>
        <w:numPr>
          <w:ilvl w:val="0"/>
          <w:numId w:val="3"/>
        </w:numPr>
        <w:spacing w:line="360" w:lineRule="auto"/>
        <w:ind w:left="567" w:hanging="284"/>
        <w:jc w:val="both"/>
        <w:rPr>
          <w:sz w:val="22"/>
          <w:szCs w:val="22"/>
        </w:rPr>
      </w:pPr>
      <w:r w:rsidDel="00000000" w:rsidR="00000000" w:rsidRPr="00000000">
        <w:rPr>
          <w:sz w:val="22"/>
          <w:szCs w:val="22"/>
          <w:rtl w:val="0"/>
        </w:rPr>
        <w:t xml:space="preserve">che gli estremi del conto corrente bancario/postale dedicato ai rapporti finanziari inerenti i contratti di appalto/fornitura/prestazioni di servizi nei confronti dell’Università degli Studi di Roma “La Sapienza”, sono i seguenti: </w:t>
      </w:r>
    </w:p>
    <w:p w:rsidR="00000000" w:rsidDel="00000000" w:rsidP="00000000" w:rsidRDefault="00000000" w:rsidRPr="00000000" w14:paraId="0000004C">
      <w:pPr>
        <w:spacing w:line="360" w:lineRule="auto"/>
        <w:ind w:left="567" w:hanging="284"/>
        <w:rPr>
          <w:sz w:val="22"/>
          <w:szCs w:val="22"/>
        </w:rPr>
      </w:pPr>
      <w:r w:rsidDel="00000000" w:rsidR="00000000" w:rsidRPr="00000000">
        <w:rPr>
          <w:sz w:val="22"/>
          <w:szCs w:val="22"/>
          <w:rtl w:val="0"/>
        </w:rPr>
        <w:t xml:space="preserve"> </w:t>
        <w:tab/>
        <w:t xml:space="preserve">IBAN      ______________________________________________</w:t>
      </w:r>
    </w:p>
    <w:p w:rsidR="00000000" w:rsidDel="00000000" w:rsidP="00000000" w:rsidRDefault="00000000" w:rsidRPr="00000000" w14:paraId="0000004D">
      <w:pPr>
        <w:spacing w:line="360" w:lineRule="auto"/>
        <w:ind w:left="284" w:hanging="284"/>
        <w:rPr>
          <w:sz w:val="22"/>
          <w:szCs w:val="22"/>
        </w:rPr>
      </w:pPr>
      <w:r w:rsidDel="00000000" w:rsidR="00000000" w:rsidRPr="00000000">
        <w:rPr>
          <w:rtl w:val="0"/>
        </w:rPr>
      </w:r>
    </w:p>
    <w:p w:rsidR="00000000" w:rsidDel="00000000" w:rsidP="00000000" w:rsidRDefault="00000000" w:rsidRPr="00000000" w14:paraId="0000004E">
      <w:pPr>
        <w:numPr>
          <w:ilvl w:val="0"/>
          <w:numId w:val="3"/>
        </w:numPr>
        <w:spacing w:line="360" w:lineRule="auto"/>
        <w:ind w:left="284" w:hanging="284"/>
        <w:rPr>
          <w:sz w:val="22"/>
          <w:szCs w:val="22"/>
        </w:rPr>
      </w:pPr>
      <w:r w:rsidDel="00000000" w:rsidR="00000000" w:rsidRPr="00000000">
        <w:rPr>
          <w:sz w:val="22"/>
          <w:szCs w:val="22"/>
          <w:rtl w:val="0"/>
        </w:rPr>
        <w:t xml:space="preserve">che le persone abilitate ad operare sul predetto conto sono:</w:t>
      </w:r>
    </w:p>
    <w:p w:rsidR="00000000" w:rsidDel="00000000" w:rsidP="00000000" w:rsidRDefault="00000000" w:rsidRPr="00000000" w14:paraId="0000004F">
      <w:pPr>
        <w:spacing w:line="360" w:lineRule="auto"/>
        <w:ind w:left="567" w:hanging="284"/>
        <w:rPr>
          <w:sz w:val="22"/>
          <w:szCs w:val="22"/>
        </w:rPr>
      </w:pPr>
      <w:r w:rsidDel="00000000" w:rsidR="00000000" w:rsidRPr="00000000">
        <w:rPr>
          <w:sz w:val="22"/>
          <w:szCs w:val="22"/>
          <w:rtl w:val="0"/>
        </w:rPr>
        <w:t xml:space="preserve">  _____________________            _______________________       __________________</w:t>
      </w:r>
    </w:p>
    <w:p w:rsidR="00000000" w:rsidDel="00000000" w:rsidP="00000000" w:rsidRDefault="00000000" w:rsidRPr="00000000" w14:paraId="00000050">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1">
      <w:pPr>
        <w:spacing w:line="360" w:lineRule="auto"/>
        <w:ind w:left="567" w:hanging="284"/>
        <w:rPr>
          <w:sz w:val="22"/>
          <w:szCs w:val="22"/>
        </w:rPr>
      </w:pPr>
      <w:r w:rsidDel="00000000" w:rsidR="00000000" w:rsidRPr="00000000">
        <w:rPr>
          <w:sz w:val="22"/>
          <w:szCs w:val="22"/>
          <w:rtl w:val="0"/>
        </w:rPr>
        <w:t xml:space="preserve">_____________________            _______________________       __________________</w:t>
      </w:r>
    </w:p>
    <w:p w:rsidR="00000000" w:rsidDel="00000000" w:rsidP="00000000" w:rsidRDefault="00000000" w:rsidRPr="00000000" w14:paraId="00000052">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3">
      <w:pPr>
        <w:spacing w:line="360" w:lineRule="auto"/>
        <w:ind w:left="567" w:hanging="284"/>
        <w:rPr>
          <w:sz w:val="22"/>
          <w:szCs w:val="22"/>
        </w:rPr>
      </w:pPr>
      <w:r w:rsidDel="00000000" w:rsidR="00000000" w:rsidRPr="00000000">
        <w:rPr>
          <w:sz w:val="22"/>
          <w:szCs w:val="22"/>
          <w:rtl w:val="0"/>
        </w:rPr>
        <w:t xml:space="preserve">_____________________            _______________________       __________________</w:t>
      </w:r>
    </w:p>
    <w:p w:rsidR="00000000" w:rsidDel="00000000" w:rsidP="00000000" w:rsidRDefault="00000000" w:rsidRPr="00000000" w14:paraId="00000054">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5">
      <w:pPr>
        <w:ind w:left="284" w:hanging="284"/>
        <w:rPr>
          <w:sz w:val="22"/>
          <w:szCs w:val="22"/>
        </w:rPr>
      </w:pPr>
      <w:r w:rsidDel="00000000" w:rsidR="00000000" w:rsidRPr="00000000">
        <w:rPr>
          <w:rtl w:val="0"/>
        </w:rPr>
      </w:r>
    </w:p>
    <w:p w:rsidR="00000000" w:rsidDel="00000000" w:rsidP="00000000" w:rsidRDefault="00000000" w:rsidRPr="00000000" w14:paraId="00000056">
      <w:pPr>
        <w:numPr>
          <w:ilvl w:val="0"/>
          <w:numId w:val="3"/>
        </w:numPr>
        <w:ind w:left="284" w:hanging="284"/>
        <w:rPr>
          <w:sz w:val="22"/>
          <w:szCs w:val="22"/>
        </w:rPr>
      </w:pPr>
      <w:r w:rsidDel="00000000" w:rsidR="00000000" w:rsidRPr="00000000">
        <w:rPr>
          <w:sz w:val="22"/>
          <w:szCs w:val="22"/>
          <w:rtl w:val="0"/>
        </w:rPr>
        <w:t xml:space="preserve">di assumere l’obbligo di tracciabilità dei flussi finanziari;</w:t>
      </w:r>
    </w:p>
    <w:p w:rsidR="00000000" w:rsidDel="00000000" w:rsidP="00000000" w:rsidRDefault="00000000" w:rsidRPr="00000000" w14:paraId="00000057">
      <w:pPr>
        <w:ind w:left="284" w:hanging="284"/>
        <w:rPr>
          <w:sz w:val="22"/>
          <w:szCs w:val="22"/>
        </w:rPr>
      </w:pPr>
      <w:r w:rsidDel="00000000" w:rsidR="00000000" w:rsidRPr="00000000">
        <w:rPr>
          <w:rtl w:val="0"/>
        </w:rPr>
      </w:r>
    </w:p>
    <w:p w:rsidR="00000000" w:rsidDel="00000000" w:rsidP="00000000" w:rsidRDefault="00000000" w:rsidRPr="00000000" w14:paraId="00000058">
      <w:pPr>
        <w:numPr>
          <w:ilvl w:val="0"/>
          <w:numId w:val="3"/>
        </w:numPr>
        <w:ind w:left="284" w:hanging="284"/>
        <w:rPr>
          <w:sz w:val="22"/>
          <w:szCs w:val="22"/>
        </w:rPr>
      </w:pPr>
      <w:r w:rsidDel="00000000" w:rsidR="00000000" w:rsidRPr="00000000">
        <w:rPr>
          <w:sz w:val="22"/>
          <w:szCs w:val="22"/>
          <w:rtl w:val="0"/>
        </w:rPr>
        <w:t xml:space="preserve">di impegnarsi a comunicare, nei termini previsti dalla norma, eventuali eventi modificativi riguardanti la presente dichiarazione.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ind w:left="709" w:firstLine="0"/>
        <w:jc w:val="center"/>
        <w:rPr>
          <w:b w:val="1"/>
          <w:sz w:val="22"/>
          <w:szCs w:val="22"/>
        </w:rPr>
      </w:pPr>
      <w:r w:rsidDel="00000000" w:rsidR="00000000" w:rsidRPr="00000000">
        <w:rPr>
          <w:b w:val="1"/>
          <w:sz w:val="22"/>
          <w:szCs w:val="22"/>
          <w:rtl w:val="0"/>
        </w:rPr>
        <w:t xml:space="preserve">PRENDE ATTO</w:t>
      </w:r>
    </w:p>
    <w:p w:rsidR="00000000" w:rsidDel="00000000" w:rsidP="00000000" w:rsidRDefault="00000000" w:rsidRPr="00000000" w14:paraId="0000005B">
      <w:pPr>
        <w:ind w:left="709" w:firstLine="0"/>
        <w:jc w:val="center"/>
        <w:rPr>
          <w:sz w:val="22"/>
          <w:szCs w:val="22"/>
        </w:rPr>
      </w:pP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ai sensi dell’art. 99, del D. Lgs. 36/2023 intitolato “Verifica del possesso dei requisiti”, la stazione appaltante:</w:t>
      </w:r>
    </w:p>
    <w:p w:rsidR="00000000" w:rsidDel="00000000" w:rsidP="00000000" w:rsidRDefault="00000000" w:rsidRPr="00000000" w14:paraId="0000005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verifica l’assenza di cause di esclusione automatiche di cui all’articolo 94 attraverso la consultazione del fascicolo virtuale dell’operatore economico di cui all’articolo 24, la consultazione degli altri documenti allegati dall’operatore economico, nonché tramite l’interoperabilità con la piattaforma digitale nazionale dati di cui all’articolo 50-ter del codice dell'amministrazione digitale, di cui al decreto legislativo 7 marzo 2005, n. 82 e con le banche dati delle pubbliche amministrazioni;</w:t>
      </w:r>
    </w:p>
    <w:p w:rsidR="00000000" w:rsidDel="00000000" w:rsidP="00000000" w:rsidRDefault="00000000" w:rsidRPr="00000000" w14:paraId="0000005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le medesime modalità di cui al comma 1, verifica l’assenza delle cause di esclusione non automatica di cui all’articolo 95, e il possesso dei requisiti di partecipazione di cui agli articoli 100 (requisiti di ordine speciale) e 103 (requisiti di partecipazione solo per procedure di lavori di rilevante importo)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ai sensi di quanto previsto dall’art.52, comma 1 e 2 del D. Lgs. 36/2023 intitolato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Controllo sul possesso dei requisiti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la stazione appaltante </w:t>
      </w: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nelle procedure di affidamento di cui all’articolo 50, comma 1, lettere a) e b), di importo inferiore a 40.000 euro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verifica le dichiarazioni sostitutive di atto di notorietà presentate e attestanti il possesso dei requisiti di partecipazione e di qualificazione richiesti, anche previo sorteggio di un campione individuato con modalità predeterminate ogni anno.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rsidR="00000000" w:rsidDel="00000000" w:rsidP="00000000" w:rsidRDefault="00000000" w:rsidRPr="00000000" w14:paraId="00000061">
      <w:pPr>
        <w:rPr>
          <w:sz w:val="22"/>
          <w:szCs w:val="22"/>
        </w:rPr>
      </w:pPr>
      <w:r w:rsidDel="00000000" w:rsidR="00000000" w:rsidRPr="00000000">
        <w:rPr>
          <w:rtl w:val="0"/>
        </w:rPr>
      </w:r>
    </w:p>
    <w:p w:rsidR="00000000" w:rsidDel="00000000" w:rsidP="00000000" w:rsidRDefault="00000000" w:rsidRPr="00000000" w14:paraId="00000062">
      <w:pPr>
        <w:spacing w:line="360" w:lineRule="auto"/>
        <w:jc w:val="center"/>
        <w:rPr>
          <w:b w:val="1"/>
          <w:sz w:val="22"/>
          <w:szCs w:val="22"/>
        </w:rPr>
      </w:pPr>
      <w:r w:rsidDel="00000000" w:rsidR="00000000" w:rsidRPr="00000000">
        <w:rPr>
          <w:b w:val="1"/>
          <w:sz w:val="22"/>
          <w:szCs w:val="22"/>
          <w:rtl w:val="0"/>
        </w:rPr>
        <w:t xml:space="preserve">DICHIARA INFINE </w:t>
      </w:r>
    </w:p>
    <w:p w:rsidR="00000000" w:rsidDel="00000000" w:rsidP="00000000" w:rsidRDefault="00000000" w:rsidRPr="00000000" w14:paraId="000000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ACCETTARE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senza condizione o riserva alcuna, tutte le prescrizioni contenute nella documentazione relativa all’</w:t>
      </w:r>
      <w:hyperlink r:id="rId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affidamento sottosoglia</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 oggetto;</w:t>
      </w:r>
    </w:p>
    <w:p w:rsidR="00000000" w:rsidDel="00000000" w:rsidP="00000000" w:rsidRDefault="00000000" w:rsidRPr="00000000" w14:paraId="000000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ESSERE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consapevole che, ai sensi dell’articolo 96, comma 14, del D.lgs. n. 36/2023, l’operatore ha l’obbligo di comunicare alla stazione appaltante anche la sussistenza dei fatti e dei provvedimenti che possono costituire causa di esclusione ai sensi degli articoli 94 e 95;</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IMPEGNARSI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ad eseguire le prestazioni in parola secondo le modalità ed i tempi stabiliti dalla stazione appaltante; </w:t>
      </w:r>
    </w:p>
    <w:p w:rsidR="00000000" w:rsidDel="00000000" w:rsidP="00000000" w:rsidRDefault="00000000" w:rsidRPr="00000000" w14:paraId="000000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ESSERE EDOTTO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degli obblighi derivanti dal Codice di comportamento integrativo dell’Ente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 di impegnarsi, in caso di aggiudicazione, a osservare e a far osservare ai propri dipendenti e collaboratori, per quanto applicabile, il suddetto codice, pena la risoluzione del contratto;</w:t>
      </w:r>
    </w:p>
    <w:p w:rsidR="00000000" w:rsidDel="00000000" w:rsidP="00000000" w:rsidRDefault="00000000" w:rsidRPr="00000000" w14:paraId="000000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IMPEGNARSI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000000" w:rsidDel="00000000" w:rsidP="00000000" w:rsidRDefault="00000000" w:rsidRPr="00000000" w14:paraId="000000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APPLICARE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ai propri dipendenti il seguente Contratto Nazionale (CCNL): ________________________;</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0" w:line="240" w:lineRule="auto"/>
        <w:ind w:left="28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Oppure</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0" w:line="240" w:lineRule="auto"/>
        <w:ind w:left="28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CHE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rsidR="00000000" w:rsidDel="00000000" w:rsidP="00000000" w:rsidRDefault="00000000" w:rsidRPr="00000000" w14:paraId="0000006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AUTORIZZARE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Luogo e data__________________________________________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FIRMA DEL DICHIARANTE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6"/>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w:t>
      </w:r>
    </w:p>
    <w:sectPr>
      <w:headerReference r:id="rId9" w:type="default"/>
      <w:headerReference r:id="rId10" w:type="first"/>
      <w:headerReference r:id="rId11" w:type="even"/>
      <w:footerReference r:id="rId12" w:type="default"/>
      <w:footerReference r:id="rId13" w:type="first"/>
      <w:footerReference r:id="rId14" w:type="even"/>
      <w:pgSz w:h="16840" w:w="11900" w:orient="portrait"/>
      <w:pgMar w:bottom="1134" w:top="2552" w:left="1134" w:right="1134" w:header="720"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6426200</wp:posOffset>
              </wp:positionH>
              <wp:positionV relativeFrom="paragraph">
                <wp:posOffset>0</wp:posOffset>
              </wp:positionV>
              <wp:extent cx="180340" cy="183515"/>
              <wp:effectExtent b="0" l="0" r="0" t="0"/>
              <wp:wrapSquare wrapText="bothSides" distB="0" distT="0" distL="0" distR="0"/>
              <wp:docPr id="1986442298" name=""/>
              <a:graphic>
                <a:graphicData uri="http://schemas.microsoft.com/office/word/2010/wordprocessingShape">
                  <wps:wsp>
                    <wps:cNvSpPr/>
                    <wps:cNvPr id="2" name="Shape 2"/>
                    <wps:spPr>
                      <a:xfrm>
                        <a:off x="5260593" y="3693005"/>
                        <a:ext cx="170815" cy="173990"/>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6426200</wp:posOffset>
              </wp:positionH>
              <wp:positionV relativeFrom="paragraph">
                <wp:posOffset>0</wp:posOffset>
              </wp:positionV>
              <wp:extent cx="180340" cy="183515"/>
              <wp:effectExtent b="0" l="0" r="0" t="0"/>
              <wp:wrapSquare wrapText="bothSides" distB="0" distT="0" distL="0" distR="0"/>
              <wp:docPr id="1986442298"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80340" cy="183515"/>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2921000</wp:posOffset>
              </wp:positionH>
              <wp:positionV relativeFrom="paragraph">
                <wp:posOffset>0</wp:posOffset>
              </wp:positionV>
              <wp:extent cx="251460" cy="183515"/>
              <wp:effectExtent b="0" l="0" r="0" t="0"/>
              <wp:wrapSquare wrapText="bothSides" distB="0" distT="0" distL="0" distR="0"/>
              <wp:docPr id="1986442299" name=""/>
              <a:graphic>
                <a:graphicData uri="http://schemas.microsoft.com/office/word/2010/wordprocessingShape">
                  <wps:wsp>
                    <wps:cNvSpPr/>
                    <wps:cNvPr id="3" name="Shape 3"/>
                    <wps:spPr>
                      <a:xfrm>
                        <a:off x="5225033" y="3693005"/>
                        <a:ext cx="241935" cy="173990"/>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36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2921000</wp:posOffset>
              </wp:positionH>
              <wp:positionV relativeFrom="paragraph">
                <wp:posOffset>0</wp:posOffset>
              </wp:positionV>
              <wp:extent cx="251460" cy="183515"/>
              <wp:effectExtent b="0" l="0" r="0" t="0"/>
              <wp:wrapSquare wrapText="bothSides" distB="0" distT="0" distL="0" distR="0"/>
              <wp:docPr id="198644229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51460" cy="183515"/>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Ai sensi dell’art.94, comma 3, del D.Lgs. 36/2023,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l'esclusione è disposta se la sentenza o il decreto oppure la misura interdittiva ivi indicati sono stati emessi nei confronti:</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dell’operatore economico ai sensi e nei termini di cui al decreto legislativo 8 giugno 2001, n. 231;</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del titolare o del direttore tecnico, se si tratta di impresa individuale;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di un socio amministratore o del direttore tecnico, se si tratta di società in nome collettivo;</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 dei soci accomandatari o del direttore tecnico, se si tratta di società in accomandita semplice;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 dei membri del consiglio di amministrazione cui sia stata conferita la legale rappresentanza, ivi compresi gli institori e i procuratori generali;</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 dei componenti degli organi con poteri di direzione o di vigilanza o dei soggetti muniti di poteri di rappresentanza, di direzione o di controllo;</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 del direttore tecnico o del socio unico;</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 dell’amministratore di fatto nelle ipotesi di cui alle lettere precedenti”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Secondo l’art.94, comma 4, del D. Lgs. 36/2023,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Nel caso in cui il socio sia una persona giuridica l’esclusione va disposta se la sentenza o il decreto ovvero la misura interdittiva sono stati emessi nei confronti degli amministratori di quest’ultima”.</w:t>
      </w:r>
      <w:r w:rsidDel="00000000" w:rsidR="00000000" w:rsidRPr="00000000">
        <w:rPr>
          <w:rtl w:val="0"/>
        </w:rPr>
      </w:r>
    </w:p>
  </w:footnote>
  <w:footnote w:id="1">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Si evidenzia che sono, altresì, esclusi,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footnote>
  <w:footnote w:id="2">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Costituiscono gravi violazioni definitivamente accertate quelle indicate nell’allegato II.10. La norma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ALLEGATO II.10 - Disposizioni in materia di possibile esclusione dell’operatore economico dalla partecipazione a una procedura d’appalto per gravi violazioni in materia fiscale non definitivamente accertate (articoli 94, comma 6 e 95, comma 2, del Codice)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1. Oggetto</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dell’articoli 94, comma 6, del codice,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 impugnazione. Costituiscono gravi violazioni in materia contributiva e previdenziale quelle ostative al rilascio del documento unico di regolarità contributiva (DURC), di cui al decreto del Ministro del lavoro e delle politiche sociali 30 gennaio 2015, pubblicato nella Gazzetta Ufficiale della Repubblica italiana n. 125 del 1° giugno 2015, ovvero delle certificazioni rilasciate dagli enti previdenziali di riferimento non aderenti al sistema dello sportello unico previdenziale.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In relazione agli articoli 94, comma 6 e 95, comma 2, si considera mezzo di prova, con riferimento ai contributi previdenziali e assistenziali, il documento unico di regolarità contributiva acquisito d'ufficio dalle stazioni appaltanti presso gli istituti previdenziali ai sensi della normativa vigente.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2. Ambito di applicazione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dell’articolo 95, comma 2, del codice, si considera violazione l’inottemperanza agli obblighi, relativi al pagamento di imposte e tasse derivanti dalla:</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notifica di atti impositivi, conseguenti ad attività di controllo degli uffici;</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notifica di atti impositivi, conseguenti ad attività di liquidazione degli uffici;</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notifica di cartelle di pagamento concernenti pretese tributarie, oggetto di comunicazioni di irregolarità emesse a seguito di controllo automatizzato o formale della dichiarazione, ai sensi degli articoli 36-bis e 36-ter del decreto del Presidente della Repubblica 29 settembre 1973, n. 600 e dell’art. 54-bis del decreto del Presidente della Repubblica 26 ottobre 1972, n. 633.</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3. Soglia di gravità</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dell’art.95, comma 2, del codice, </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la violazione si considera grave quando comporta l'inottemperanza a un obbligo di pagamento di imposte o tasse per un importo che, con esclusione di sanzioni e interessi, è pari o superiore al 10 per cento del valore dell'appalto</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Per gli appalti suddivisi in lotti, la soglia di gravità è rapportata al valore del lotto o dei lotti per i quali l'operatore economico concorre. In caso di subappalto o di partecipazione in raggruppamenti temporanei o in consorzi, la soglia di gravità riferita al subappaltatore o al partecipante al raggruppamento o al consorzio è rapportata al valore della prestazione assunta dal singolo operatore economico. I</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n ogni caso, l'importo della violazione non deve essere inferiore a 35.000 euro.</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Costituiscono gravi violazioni in materia contributiva e previdenziale quelle ostative al rilascio del DURC</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di cui al decreto del Ministro del lavoro e delle politiche sociali 30 gennaio 2015, ovvero delle certificazioni rilasciate dagli enti previdenziali di riferimento non aderenti al sistema dello sportello unico previdenziale.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4.</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dell’articolo 95, comma 2, del codice, la violazione grave di cui all'articolo 3, comma 1, del presente allegato si considera non definitivamente accertata, e pertanto valutabile dalla stazione appaltante per l'esclusione dalla partecipazione alle procedure di affidamento di contratti pubblici, quando siano decorsi inutilmente i termini per adempiere all'obbligo di pagamento e l'atto impositivo o la cartella di pagamento siano stati tempestivamente impugnati.</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Le violazioni di cui al comma 1 non rilevano ai fini dell'esclusione dell'operatore economico dalla partecipazione alla procedura d'appalto se in relazione alle stesse è intervenuta una pronuncia giurisdizionale favorevole all'operatore economico non passata in giudicato, sino all'eventuale riforma della stessa o sino a che la violazione risulti definitivamente accertata, ovvero se sono stati adottati provvedimenti di sospensione giurisdizionale o amministrativa.</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Ai sensi dell’art. 95, comma 2, del D. Lgs. 36/2023</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3">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Ai sensi dell’art.98 del D. Lgs. 36/2023:</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L’illecito professionale grave rileva solo se compiuto dall’operatore economico offerente, salvo quanto previsto dal comma 3, lettere g) ed h).</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L’esclusione di un operatore economico ai sensi dell’articolo 95, comma 1, lettera e) è disposta e comunicata dalla stazione appaltante quando ricorrono tutte le seguenti condizioni:</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elementi sufficienti ad integrare il grave illecito professionale;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idoneità del grave illecito professionale ad incidere sull’affidabilità e integrità dell’operatore;</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adeguati mezzi di prova di cui al comma 6.</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3. L’illecito professionale si può desumere al verificarsi di almeno uno dei seguenti elementi:</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sanzione esecutiva irrogata dall’Autorità garante della concorrenza e del mercato o da altra autorità di settore, rilevante in relazione all’oggetto specifico dell’appalto;</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condotta dell'operatore economico che abbia tentato di influenzare indebitamente il processo decisionale della stazione appaltante o di ottenere informazioni riservate a proprio vantaggio oppure che abbia fornito, anche per negligenza, informazioni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false o fuorvianti suscettibili di influenzare le decisioni sull'esclusione, la selezione o l'aggiudicazione;</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 condotta dell'operatore economico che abbia commesso grave inadempimento nei confronti di uno o più subappaltatori;</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 condotta dell'operatore economico che abbia violato il divieto di intestazione fiduciaria di cui all'articolo 17 della legge 19 marzo 1990, n. 55, laddove la violazione non sia stata rimossa;</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 contestata commissione da parte dell’operatore economico, ovvero dei soggetti di cui al comma 3 dell’articolo 94 di taluno dei reati consumati o tentati di cui al comma 1 del medesimo articolo 94;</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 contestata o accertata commissione, da parte dell’operatore economico oppure dei soggetti di cui al comma 3 dell’articolo 94, di taluno dei seguenti reati consumati:</w:t>
      </w:r>
    </w:p>
    <w:p w:rsidR="00000000" w:rsidDel="00000000" w:rsidP="00000000" w:rsidRDefault="00000000" w:rsidRPr="00000000" w14:paraId="000000A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abusivo esercizio di una professione, ai sensi dell’articolo 348 del codice penale;</w:t>
      </w:r>
    </w:p>
    <w:p w:rsidR="00000000" w:rsidDel="00000000" w:rsidP="00000000" w:rsidRDefault="00000000" w:rsidRPr="00000000" w14:paraId="000000A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bancarotta semplice, bancarotta fraudolenta, omessa dichiarazione di beni da comprendere nell’inventario fallimentare o ricorso abusivo al credito, di cui agli articoli 216, 217, 218 e 220 del regio decreto 16 marzo 1942, n. 267;</w:t>
      </w:r>
    </w:p>
    <w:p w:rsidR="00000000" w:rsidDel="00000000" w:rsidP="00000000" w:rsidRDefault="00000000" w:rsidRPr="00000000" w14:paraId="000000A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tributari ai sensi del decreto legislativo 10 marzo 2000, n. 74, i delitti societari di cui agli articoli 2621 e seguenti del codice civile o i delitti contro l’industria e il commercio di cui agli articoli da 513 a 517 del codice penale;</w:t>
      </w:r>
    </w:p>
    <w:p w:rsidR="00000000" w:rsidDel="00000000" w:rsidP="00000000" w:rsidRDefault="00000000" w:rsidRPr="00000000" w14:paraId="000000A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000000" w:rsidDel="00000000" w:rsidP="00000000" w:rsidRDefault="00000000" w:rsidRPr="00000000" w14:paraId="000000A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previsti dal decreto legislativo 8 giugno 2001, n. 231.</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5. Le dichiarazioni omesse o non veritiere rese nella stessa gara e diverse da quelle di cui alla lettera b) del comma 3 possono essere utilizzate a supporto della valutazione di gravità riferita agli elementi di cui al comma 3.</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6. Costituiscono mezzi di prova adeguati, in relazione al comma 3:</w:t>
      </w:r>
    </w:p>
    <w:p w:rsidR="00000000" w:rsidDel="00000000" w:rsidP="00000000" w:rsidRDefault="00000000" w:rsidRPr="00000000" w14:paraId="000000A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a), i provvedimenti sanzionatori esecutivi resi dall’Autorità garante della concorrenza e del mercato o da altra autorità di settore;</w:t>
      </w:r>
    </w:p>
    <w:p w:rsidR="00000000" w:rsidDel="00000000" w:rsidP="00000000" w:rsidRDefault="00000000" w:rsidRPr="00000000" w14:paraId="000000A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b), la presenza di indizi gravi, precisi e concordanti che rendano evidente il ricorrere della situazione escludente;</w:t>
      </w:r>
    </w:p>
    <w:p w:rsidR="00000000" w:rsidDel="00000000" w:rsidP="00000000" w:rsidRDefault="00000000" w:rsidRPr="00000000" w14:paraId="000000A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c), l’intervenuta risoluzione per inadempimento o la condanna al risarcimento del danno o ad altre conseguenze comparabili;</w:t>
      </w:r>
    </w:p>
    <w:p w:rsidR="00000000" w:rsidDel="00000000" w:rsidP="00000000" w:rsidRDefault="00000000" w:rsidRPr="00000000" w14:paraId="000000A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d), la emissione di provvedimenti giurisdizionali anche non definitivi;</w:t>
      </w:r>
    </w:p>
    <w:p w:rsidR="00000000" w:rsidDel="00000000" w:rsidP="00000000" w:rsidRDefault="00000000" w:rsidRPr="00000000" w14:paraId="000000B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e), l'accertamento definitivo della violazione;</w:t>
      </w:r>
    </w:p>
    <w:p w:rsidR="00000000" w:rsidDel="00000000" w:rsidP="00000000" w:rsidRDefault="00000000" w:rsidRPr="00000000" w14:paraId="000000B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f), gli elementi ivi indicati;</w:t>
      </w:r>
    </w:p>
    <w:p w:rsidR="00000000" w:rsidDel="00000000" w:rsidP="00000000" w:rsidRDefault="00000000" w:rsidRPr="00000000" w14:paraId="000000B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000000" w:rsidDel="00000000" w:rsidP="00000000" w:rsidRDefault="00000000" w:rsidRPr="00000000" w14:paraId="000000B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h), la sentenza di condanna definitiva, il decreto penale di condanna irrevocabile, e la condanna non definitiva, i provvedimenti cautelari reali o personali, ove emessi dal giudice penale.</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8. Il provvedimento di esclusione deve essere motivato in relazione a tutte e tre le condizioni di cui al comma 2.</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footnote>
  <w:footnote w:id="4">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Articolo 100 - Requisiti di ordine speciale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“1. Sono requisiti di ordine speciale: a) l'idoneità professionale; b) la capacità economica e finanziaria; c) le capacità tecniche e professionali. 2. Le stazioni appaltanti richiedono  requisiti  di  partecipazione proporzionati e attinenti all'oggetto dell'appalto.  3. Per le procedure di  aggiudicazione  di  appalti  di  servizi  e forniture le stazioni appaltanti richiedono l'iscrizione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In sede di  prima  applicazione  del  codice, l'allegato II.11 è abrogato a decorrere dalla  data  di  entrata  in vigore  di  un   corrispondente   regolamento   adottato   ai   sensi dell'articolo 17, comma 3, della legge 23 agosto 1988,  n.  400,  con decreto del Presidente del Consiglio dei  ministri  su  proposta  del Ministro per gli affari europei, ove  nominato,  che  lo  sostituisce integralmente anche in qualità di allegato al codice.    4. Per le procedure di  aggiudicazione  di  appalti  di  lavori  di importo pari o  superiore  a  150.000  euro  le  stazioni  appaltanti richiedono   che   gli   operatori   economici   siano   qualificati. L'attestazione  di  qualificazione  è  rilasciata  da  organismi  di diritto privato autorizzati dall'ANAC. Il sistema  di  qualificazione per gli esecutori di lavori pubblici,  articolato  in  rapporto  alle categorie di  opere  ed  all'importo  delle  stesse  è  disciplinato dall'allegato  II.12.  Le  categorie  di  opere  si  distinguono   in categorie di opere generali e categorie di  opere  specializzate.  Il possesso di attestazione di qualificazione in categorie e classifiche adeguate ai lavori da appaltare rappresenta condizione  necessaria  e sufficiente per la dimostrazione dei requisiti di  partecipazione  di cui al  presente  articolo  nonché  per  l'esecuzione,  a  qualsiasi titolo, dell'appalto.  In  sede  di  prima  applicazione  del  codice l'allegato II.12 è abrogato a decorrere dalla  data  di  entrata  in vigore  di   un   corrispondente   regolamento   emanato   ai   sensi dell'articolo 17, comma 1, della legge 23 agosto  1988,  n.  400,  su proposta del Ministro delle infrastrutture e dei  trasporti,  sentita l'ANAC,  che  lo  sostituisce  integralmente  anche  in  qualità  di allegato al codice.    5. Per ottenere o rinnovare l'attestazione  di  qualificazione  gli operatori economici devono:    a)  essere  iscritti  nel  registro  della  camera  di   commercio, industria, artigianato e agricoltura o nel registro delle commissioni provinciali  per  l'artigianato  o   presso   i   competenti   ordini professionali  per  un'attività,  prevista  dall'oggetto  sociale  e compresa nella categoria per la quale è richiesta l'attestazione;    b) non essere incorsi nelle cause di esclusione di cui al  Capo  II del presente Titolo nel triennio precedente alla data  della  domanda di rilascio o di rinnovo dell'attestazione di qualificazione;    c) essere in possesso di  certificazioni  di  sistemi  di  qualità conformi alle norme  europee  e  alla  vigente  normativa  nazionale, rilasciate da soggetti accreditati.    6.  L'organismo  di   attestazione   rilascia   l'attestazione   di qualificazione per la categoria di opere generali o specializzate per l'esecuzione delle quali  l'operatore  economico  risulti  essere  in possesso di adeguata capacità economica e finanziaria,  di  adeguata dotazione di attrezzature tecniche e  risorse  umane,  e  dispone  la classificazione per importi in ragione  della  documentata  pregressa esperienza professionale.    7. Fino alla emanazione del regolamento di cui al sesto periodo del comma 4, il periodo di attività documentabile è quello relativo  ai quindici anni antecedenti la data di sottoscrizione del contratto con la società organismo di attestazione (SOA) e  la  qualificazione  ha durata  di  cinque  anni,  con  verifica  entro  il  terzo  anno  del mantenimento dei requisiti.    8. Con il regolamento di cui al sesto periodo del comma 4  sono  in ogni caso disciplinati:    a) la procedura per ottenere l'attestazione di qualificazione e per il suo rinnovo, prevedendo  che  l'operatore  economico  richieda  la conferma dell'attestazione nel caso in cui, nel periodo di  validità dell'attestazione, intervenga una modifica soggettiva;    b)  i  requisiti  per  la  dimostrazione  dell'adeguata   capacità economica e finanziaria  e  per  la  dimostrazione  del  possesso  di adeguate attrezzature tecniche e di adeguato organico;    c) le modalità di qualificazione degli operatori economici di  cui all'articolo 67, comma 1, sulla base del criterio del cumulo  nonché i criteri di imputazione di cui all'articolo 67, comma 6;    d)  le  modalità  di  documentazione  delle  pregresse  esperienze professionali, considerando anche  i  lavori  eseguiti  a  favore  di soggetti privati che siano comprovati da idonea documentazione;    e) le modalità di verifica a campione compiute dagli organismi  di attestazione;    f) il periodo di durata dell'attestazione  di  qualificazione  e  i periodi intermedi di verifica del mantenimento dei requisiti;    g) i casi  di  sospensione  e  di  decadenza  dall'attestazione  di qualificazione già rilasciata, prevedendo sanzioni interdittive  nel caso di presentazione  di  falsa  documentazione  agli  organismi  di attestazione.    9. Relativamente agli organismi di attestazione, con il regolamento di cui al sesto periodo del comma 4 sono in ogni caso disciplinati:    a) i requisiti soggettivi, organizzativi, finanziari e tecnici  per il conseguimento dell'autorizzazione all'esercizio dell'attività  di qualificazione degli operatori economici  nonché  la  procedura  per ottenere l'autorizzazione;    b) le sanzioni  pecuniarie  e  interdittive,  fino  alla  decadenza dell'autorizzazione, per le violazioni commesse  dagli  organismi  di attestazione, anche alle richieste di informazioni  e  di  atti  loro rivolte dall'ANAC nell'esercizio dell'attività di vigilanza, secondo un criterio di proporzionalità e nel rispetto del contraddittorio;    c) le modalità dell'esercizio dell'attività di vigilanza da parte dell'ANAC;    d)  gli  obblighi  di  conservazione  e  di   pubblicazione   della documentazione in capo agli organismi di attestazione;    e) gli obblighi di comunicazione all'ANAC in capo agli organismi di attestazione.    10. Con il regolamento di cui al  sesto  periodo  del  comma  4  è altresì definita la disciplina della qualificazione degli  operatori economici per gli appalti di  servizi  e  forniture.  Il  regolamento contiene, tra l'altro: la definizione delle tipologie per le quali è possibile una classificazione per valore, la competenza a  rilasciare la relativa  attestazione,  la  procedura  e  le  condizioni  per  la relativa richiesta, il regime sanzionatorio.    11. Fino alla data di entrata in vigore del regolamento di  cui  al sesto periodo del comma 4, per  le  procedure  di  aggiudicazione  di appalti di  servizi  e  forniture,  le  stazioni  appaltanti  possono richiedere agli operatori  economici  quale  requisito  di  capacità economica e finanziaria un fatturato globale non superiore al  doppio del valore stimato dell'appalto, maturato nel triennio  precedente  a quello  di  indizione  della  procedura.  In  caso  di  procedure  di aggiudicazione  suddivise  in  pluralità  di  lotti,  salvo  diversa motivata scelta della stazione appaltante, il fatturato è  richiesto per  ciascun  lotto.  Le  stazioni  appaltanti   possono,   altresì, richiedere agli operatori  economici  quale  requisito  di  capacità tecnica e professionale di  aver  eseguito  nel  precedente  triennio dalla data di indizione della procedura di gara contratti analoghi  a quello in affidamento anche a favore di soggetti privati.    12. Salvo quanto previsto dall'articolo 102 o da leggi speciali, le stazioni  appaltanti  richiedono  esclusivamente   i   requisiti   di partecipazione previsti dal presente articolo.    13. Gli organismi  di  cui  al  comma  4  segnalano  immediatamente all'ANAC i casi  in  cui  gli  operatori  economici,  ai  fini  della qualificazione, rendono dichiarazioni false o producono documenti non veritieri. </w:t>
      </w:r>
    </w:p>
  </w:footnote>
  <w:footnote w:id="5">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Agli operatori economici non possono essere richiesti documenti che comprovano il possesso dei requisiti di partecipazione o altra documentazione utile ai fini dell’aggiudicazione, se questi sono presenti nel fascicolo virtuale dell’operatore economico, sono già in possesso della stazione appaltante, per effetto di una precedente aggiudicazione o conclusione di un accordo quadro, ovvero possono essere acquisiti tramite interoperabilità con la piattaforma digitale nazionale dati di cui all’articolo 50-ter del codice di cui al decreto legislativo n. 82 del 2005 e con le banche dati delle pubbliche amministrazioni.</w:t>
      </w:r>
    </w:p>
  </w:footnote>
  <w:footnote w:id="6">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Ai sensi dell’art.38 del D.P.R. del 28.12.2000, n.445 la dichiarazione è sottoscritta dall'interessato in presenza del dipendente addetto ovvero sottoscritta e presentata all'ufficio competente, unitamente a copia fotostatica non autenticata di un documento di identità del sottoscrittore.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198644230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3"/>
      <w:numFmt w:val="bullet"/>
      <w:lvlText w:val="-"/>
      <w:lvlJc w:val="left"/>
      <w:pPr>
        <w:ind w:left="360" w:hanging="36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0"/>
      <w:numFmt w:val="bullet"/>
      <w:lvlText w:val="-"/>
      <w:lvlJc w:val="left"/>
      <w:pPr>
        <w:ind w:left="1440" w:hanging="360"/>
      </w:pPr>
      <w:rPr>
        <w:rFonts w:ascii="Times New Roman" w:cs="Times New Roman" w:eastAsia="Times New Roman" w:hAnsi="Times New Roman"/>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502" w:hanging="360"/>
      </w:pPr>
      <w:rPr>
        <w:rFonts w:ascii="Times New Roman" w:cs="Times New Roman" w:eastAsia="Times New Roman" w:hAnsi="Times New Roman"/>
        <w:i w:val="0"/>
      </w:rPr>
    </w:lvl>
    <w:lvl w:ilvl="1">
      <w:start w:val="1"/>
      <w:numFmt w:val="lowerLetter"/>
      <w:lvlText w:val="%2."/>
      <w:lvlJc w:val="left"/>
      <w:pPr>
        <w:ind w:left="1440" w:hanging="360"/>
      </w:pPr>
      <w:rPr>
        <w:rFonts w:ascii="Courier New" w:cs="Courier New" w:eastAsia="Courier New" w:hAnsi="Courier New"/>
      </w:rPr>
    </w:lvl>
    <w:lvl w:ilvl="2">
      <w:start w:val="1"/>
      <w:numFmt w:val="upperLetter"/>
      <w:lvlText w:val="%3)"/>
      <w:lvlJc w:val="left"/>
      <w:pPr>
        <w:ind w:left="2385" w:hanging="405"/>
      </w:pPr>
      <w:rPr>
        <w:rFonts w:ascii="Noto Sans Symbols" w:cs="Noto Sans Symbols" w:eastAsia="Noto Sans Symbols" w:hAnsi="Noto Sans Symbols"/>
      </w:rPr>
    </w:lvl>
    <w:lvl w:ilvl="3">
      <w:start w:val="1"/>
      <w:numFmt w:val="decimal"/>
      <w:lvlText w:val="%4."/>
      <w:lvlJc w:val="left"/>
      <w:pPr>
        <w:ind w:left="2880" w:hanging="360"/>
      </w:pPr>
      <w:rPr>
        <w:rFonts w:ascii="Noto Sans Symbols" w:cs="Noto Sans Symbols" w:eastAsia="Noto Sans Symbols" w:hAnsi="Noto Sans Symbols"/>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0"/>
      <w:numFmt w:val="bullet"/>
      <w:lvlText w:val="-"/>
      <w:lvlJc w:val="left"/>
      <w:pPr>
        <w:ind w:left="1068" w:hanging="360"/>
      </w:pPr>
      <w:rPr>
        <w:rFonts w:ascii="Times New Roman" w:cs="Times New Roman" w:eastAsia="Times New Roman" w:hAnsi="Times New Roman"/>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432" w:hanging="432"/>
    </w:pPr>
    <w:rPr>
      <w:b w:val="1"/>
    </w:rPr>
  </w:style>
  <w:style w:type="paragraph" w:styleId="Heading2">
    <w:name w:val="heading 2"/>
    <w:basedOn w:val="Normal"/>
    <w:next w:val="Normal"/>
    <w:pPr>
      <w:keepNext w:val="1"/>
      <w:ind w:left="576" w:hanging="576"/>
      <w:jc w:val="center"/>
    </w:pPr>
    <w:rPr>
      <w:b w:val="1"/>
    </w:rPr>
  </w:style>
  <w:style w:type="paragraph" w:styleId="Heading3">
    <w:name w:val="heading 3"/>
    <w:basedOn w:val="Normal"/>
    <w:next w:val="Normal"/>
    <w:pPr>
      <w:keepNext w:val="1"/>
      <w:spacing w:after="60" w:before="240" w:lineRule="auto"/>
      <w:ind w:left="720" w:hanging="720"/>
    </w:pPr>
    <w:rPr>
      <w:rFonts w:ascii="Cambria" w:cs="Cambria" w:eastAsia="Cambria" w:hAnsi="Cambria"/>
      <w:b w:val="1"/>
      <w:sz w:val="26"/>
      <w:szCs w:val="26"/>
    </w:rPr>
  </w:style>
  <w:style w:type="paragraph" w:styleId="Heading4">
    <w:name w:val="heading 4"/>
    <w:basedOn w:val="Normal"/>
    <w:next w:val="Normal"/>
    <w:pPr>
      <w:keepNext w:val="1"/>
      <w:spacing w:after="60" w:before="240" w:lineRule="auto"/>
      <w:ind w:left="864" w:hanging="864"/>
    </w:pPr>
    <w:rPr>
      <w:rFonts w:ascii="Calibri" w:cs="Calibri" w:eastAsia="Calibri" w:hAnsi="Calibri"/>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Grid">
    <w:name w:val="Table Grid"/>
    <w:basedOn w:val="TableNormal"/>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Normale" w:default="1">
    <w:name w:val="Normal"/>
    <w:qFormat w:val="1"/>
    <w:pPr>
      <w:suppressAutoHyphens w:val="1"/>
      <w:spacing/>
    </w:pPr>
    <w:rPr>
      <w:sz w:val="24"/>
      <w:szCs w:val="24"/>
      <w:lang w:eastAsia="ar-SA"/>
    </w:rPr>
  </w:style>
  <w:style w:type="paragraph" w:styleId="Titolo1">
    <w:name w:val="Heading 1"/>
    <w:basedOn w:val="Normale"/>
    <w:next w:val="Normale"/>
    <w:qFormat w:val="1"/>
    <w:pPr>
      <w:keepNext w:val="1"/>
      <w:numPr>
        <w:numId w:val="1"/>
      </w:numPr>
      <w:spacing/>
      <w:outlineLvl w:val="0"/>
    </w:pPr>
    <w:rPr>
      <w:b w:val="1"/>
      <w:bCs w:val="1"/>
      <w:lang w:val="de-DE"/>
    </w:rPr>
  </w:style>
  <w:style w:type="paragraph" w:styleId="Titolo2">
    <w:name w:val="Heading 2"/>
    <w:basedOn w:val="Normale"/>
    <w:next w:val="Normale"/>
    <w:qFormat w:val="1"/>
    <w:pPr>
      <w:keepNext w:val="1"/>
      <w:numPr>
        <w:ilvl w:val="1"/>
        <w:numId w:val="1"/>
      </w:numPr>
      <w:autoSpaceDE w:val="0"/>
      <w:spacing/>
      <w:jc w:val="center"/>
      <w:outlineLvl w:val="1"/>
    </w:pPr>
    <w:rPr>
      <w:b w:val="1"/>
      <w:bCs w:val="1"/>
      <w:szCs w:val="28"/>
    </w:rPr>
  </w:style>
  <w:style w:type="paragraph" w:styleId="Titolo3">
    <w:name w:val="Heading 3"/>
    <w:basedOn w:val="Normale"/>
    <w:next w:val="Normale"/>
    <w:qFormat w:val="1"/>
    <w:pPr>
      <w:keepNext w:val="1"/>
      <w:numPr>
        <w:ilvl w:val="2"/>
        <w:numId w:val="1"/>
      </w:numPr>
      <w:spacing w:after="60" w:before="240"/>
      <w:outlineLvl w:val="2"/>
    </w:pPr>
    <w:rPr>
      <w:rFonts w:ascii="Cambria" w:hAnsi="Cambria"/>
      <w:b w:val="1"/>
      <w:bCs w:val="1"/>
      <w:sz w:val="26"/>
      <w:szCs w:val="26"/>
    </w:rPr>
  </w:style>
  <w:style w:type="paragraph" w:styleId="Titolo4">
    <w:name w:val="Heading 4"/>
    <w:basedOn w:val="Normale"/>
    <w:next w:val="Normale"/>
    <w:qFormat w:val="1"/>
    <w:pPr>
      <w:keepNext w:val="1"/>
      <w:numPr>
        <w:ilvl w:val="3"/>
        <w:numId w:val="1"/>
      </w:numPr>
      <w:spacing w:after="60" w:before="240"/>
      <w:outlineLvl w:val="3"/>
    </w:pPr>
    <w:rPr>
      <w:rFonts w:ascii="Calibri" w:hAnsi="Calibri"/>
      <w:b w:val="1"/>
      <w:bCs w:val="1"/>
      <w:sz w:val="28"/>
      <w:szCs w:val="28"/>
    </w:rPr>
  </w:style>
  <w:style w:type="character" w:styleId="Carpredefinitoparagrafo" w:default="1">
    <w:name w:val="Default Paragraph Font"/>
    <w:uiPriority w:val="1"/>
    <w:semiHidden w:val="1"/>
    <w:unhideWhenUsed w:val="1"/>
    <w:rPr/>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name w:val="No List"/>
    <w:uiPriority w:val="99"/>
    <w:semiHidden w:val="1"/>
    <w:unhideWhenUsed w:val="1"/>
  </w:style>
  <w:style w:type="character" w:styleId="WW8Num1z0" w:customStyle="1">
    <w:name w:val="WW8Num1z0"/>
    <w:basedOn w:val="Carpredefinitoparagrafo"/>
    <w:rPr>
      <w:i w:val="0"/>
    </w:rPr>
  </w:style>
  <w:style w:type="character" w:styleId="WW8Num1z1" w:customStyle="1">
    <w:name w:val="WW8Num1z1"/>
    <w:basedOn w:val="Carpredefinitoparagrafo"/>
    <w:rPr/>
  </w:style>
  <w:style w:type="character" w:styleId="WW8Num1z2" w:customStyle="1">
    <w:name w:val="WW8Num1z2"/>
    <w:basedOn w:val="Carpredefinitoparagrafo"/>
    <w:rPr/>
  </w:style>
  <w:style w:type="character" w:styleId="WW8Num1z3" w:customStyle="1">
    <w:name w:val="WW8Num1z3"/>
    <w:basedOn w:val="Carpredefinitoparagrafo"/>
    <w:rPr/>
  </w:style>
  <w:style w:type="character" w:styleId="WW8Num1z4" w:customStyle="1">
    <w:name w:val="WW8Num1z4"/>
    <w:basedOn w:val="Carpredefinitoparagrafo"/>
    <w:rPr/>
  </w:style>
  <w:style w:type="character" w:styleId="WW8Num1z5" w:customStyle="1">
    <w:name w:val="WW8Num1z5"/>
    <w:basedOn w:val="Carpredefinitoparagrafo"/>
    <w:rPr/>
  </w:style>
  <w:style w:type="character" w:styleId="WW8Num1z6" w:customStyle="1">
    <w:name w:val="WW8Num1z6"/>
    <w:basedOn w:val="Carpredefinitoparagrafo"/>
    <w:rPr/>
  </w:style>
  <w:style w:type="character" w:styleId="WW8Num1z7" w:customStyle="1">
    <w:name w:val="WW8Num1z7"/>
    <w:basedOn w:val="Carpredefinitoparagrafo"/>
    <w:rPr/>
  </w:style>
  <w:style w:type="character" w:styleId="WW8Num1z8" w:customStyle="1">
    <w:name w:val="WW8Num1z8"/>
    <w:basedOn w:val="Carpredefinitoparagrafo"/>
    <w:rPr/>
  </w:style>
  <w:style w:type="character" w:styleId="WW8Num2z0" w:customStyle="1">
    <w:name w:val="WW8Num2z0"/>
    <w:basedOn w:val="Carpredefinitoparagrafo"/>
    <w:rPr>
      <w:rFonts w:ascii="Times New Roman" w:cs="Times New Roman" w:eastAsia="Times New Roman" w:hAnsi="Times New Roman" w:hint="default"/>
      <w:i w:val="1"/>
    </w:rPr>
  </w:style>
  <w:style w:type="character" w:styleId="WW8Num2z1" w:customStyle="1">
    <w:name w:val="WW8Num2z1"/>
    <w:basedOn w:val="Carpredefinitoparagrafo"/>
    <w:rPr>
      <w:rFonts w:ascii="Courier New" w:cs="Courier New" w:hAnsi="Courier New" w:hint="default"/>
    </w:rPr>
  </w:style>
  <w:style w:type="character" w:styleId="WW8Num2z2" w:customStyle="1">
    <w:name w:val="WW8Num2z2"/>
    <w:basedOn w:val="Carpredefinitoparagrafo"/>
    <w:rPr>
      <w:rFonts w:ascii="Wingdings" w:cs="Wingdings" w:hAnsi="Wingdings" w:hint="default"/>
    </w:rPr>
  </w:style>
  <w:style w:type="character" w:styleId="WW8Num2z3" w:customStyle="1">
    <w:name w:val="WW8Num2z3"/>
    <w:basedOn w:val="Carpredefinitoparagrafo"/>
    <w:rPr>
      <w:rFonts w:ascii="Symbol" w:cs="Symbol" w:hAnsi="Symbol" w:hint="default"/>
    </w:rPr>
  </w:style>
  <w:style w:type="character" w:styleId="WW8Num2z4" w:customStyle="1">
    <w:name w:val="WW8Num2z4"/>
    <w:basedOn w:val="Carpredefinitoparagrafo"/>
    <w:rPr/>
  </w:style>
  <w:style w:type="character" w:styleId="WW8Num2z5" w:customStyle="1">
    <w:name w:val="WW8Num2z5"/>
    <w:basedOn w:val="Carpredefinitoparagrafo"/>
    <w:rPr/>
  </w:style>
  <w:style w:type="character" w:styleId="WW8Num2z6" w:customStyle="1">
    <w:name w:val="WW8Num2z6"/>
    <w:basedOn w:val="Carpredefinitoparagrafo"/>
    <w:rPr/>
  </w:style>
  <w:style w:type="character" w:styleId="WW8Num2z7" w:customStyle="1">
    <w:name w:val="WW8Num2z7"/>
    <w:basedOn w:val="Carpredefinitoparagrafo"/>
    <w:rPr/>
  </w:style>
  <w:style w:type="character" w:styleId="WW8Num2z8" w:customStyle="1">
    <w:name w:val="WW8Num2z8"/>
    <w:basedOn w:val="Carpredefinitoparagrafo"/>
    <w:rPr/>
  </w:style>
  <w:style w:type="character" w:styleId="WW8Num3z0" w:customStyle="1">
    <w:name w:val="WW8Num3z0"/>
    <w:basedOn w:val="Carpredefinitoparagrafo"/>
    <w:rPr>
      <w:rFonts w:ascii="Times New Roman" w:cs="Times New Roman" w:hAnsi="Times New Roman" w:hint="default"/>
      <w:b w:val="1"/>
      <w:i w:val="0"/>
      <w:sz w:val="28"/>
      <w:szCs w:val="24"/>
    </w:rPr>
  </w:style>
  <w:style w:type="character" w:styleId="WW8Num4z0" w:customStyle="1">
    <w:name w:val="WW8Num4z0"/>
    <w:basedOn w:val="Carpredefinitoparagrafo"/>
    <w:rPr>
      <w:rFonts w:ascii="Symbol" w:cs="Times New Roman" w:hAnsi="Symbol" w:hint="default"/>
      <w:caps w:val="0"/>
      <w:smallCaps w:val="0"/>
      <w:strike w:val="0"/>
      <w:dstrike w:val="0"/>
      <w:vanish w:val="0"/>
      <w:color w:val="000000"/>
      <w:position w:val="0"/>
      <w:sz w:val="24"/>
      <w:szCs w:val="22"/>
      <w:vertAlign w:val="baseline"/>
      <w14:shadow w14:algn="none">
        <w14:srgbClr w14:val="000000"/>
      </w14:shadow>
      <w14:textOutline w14:cap="rnd" w14:cmpd="sng" w14:algn="ctr">
        <w14:noFill/>
        <w14:prstDash w14:val="solid"/>
        <w14:bevel/>
      </w14:textOutline>
    </w:rPr>
  </w:style>
  <w:style w:type="character" w:styleId="WW8Num5z0" w:customStyle="1">
    <w:name w:val="WW8Num5z0"/>
    <w:basedOn w:val="Carpredefinitoparagrafo"/>
    <w:rPr>
      <w:rFonts w:ascii="Times New Roman" w:cs="Times New Roman" w:hAnsi="Times New Roman" w:hint="default"/>
    </w:rPr>
  </w:style>
  <w:style w:type="character" w:styleId="WW8Num6z0" w:customStyle="1">
    <w:name w:val="WW8Num6z0"/>
    <w:basedOn w:val="Carpredefinitoparagrafo"/>
    <w:rPr>
      <w:rFonts w:ascii="Times New Roman" w:cs="Times New Roman" w:eastAsia="Times New Roman" w:hAnsi="Times New Roman" w:hint="default"/>
    </w:rPr>
  </w:style>
  <w:style w:type="character" w:styleId="WW8Num3z1" w:customStyle="1">
    <w:name w:val="WW8Num3z1"/>
    <w:basedOn w:val="Carpredefinitoparagrafo"/>
    <w:rPr/>
  </w:style>
  <w:style w:type="character" w:styleId="WW8Num3z2" w:customStyle="1">
    <w:name w:val="WW8Num3z2"/>
    <w:basedOn w:val="Carpredefinitoparagrafo"/>
    <w:rPr/>
  </w:style>
  <w:style w:type="character" w:styleId="WW8Num3z3" w:customStyle="1">
    <w:name w:val="WW8Num3z3"/>
    <w:basedOn w:val="Carpredefinitoparagrafo"/>
    <w:rPr/>
  </w:style>
  <w:style w:type="character" w:styleId="WW8Num3z4" w:customStyle="1">
    <w:name w:val="WW8Num3z4"/>
    <w:basedOn w:val="Carpredefinitoparagrafo"/>
    <w:rPr/>
  </w:style>
  <w:style w:type="character" w:styleId="WW8Num3z5" w:customStyle="1">
    <w:name w:val="WW8Num3z5"/>
    <w:basedOn w:val="Carpredefinitoparagrafo"/>
    <w:rPr/>
  </w:style>
  <w:style w:type="character" w:styleId="WW8Num3z6" w:customStyle="1">
    <w:name w:val="WW8Num3z6"/>
    <w:basedOn w:val="Carpredefinitoparagrafo"/>
    <w:rPr/>
  </w:style>
  <w:style w:type="character" w:styleId="WW8Num3z7" w:customStyle="1">
    <w:name w:val="WW8Num3z7"/>
    <w:basedOn w:val="Carpredefinitoparagrafo"/>
    <w:rPr/>
  </w:style>
  <w:style w:type="character" w:styleId="WW8Num3z8" w:customStyle="1">
    <w:name w:val="WW8Num3z8"/>
    <w:basedOn w:val="Carpredefinitoparagrafo"/>
    <w:rPr/>
  </w:style>
  <w:style w:type="character" w:styleId="WW8Num4z1" w:customStyle="1">
    <w:name w:val="WW8Num4z1"/>
    <w:basedOn w:val="Carpredefinitoparagrafo"/>
    <w:rPr>
      <w:rFonts w:ascii="Wingdings" w:cs="Times New Roman" w:hAnsi="Wingdings" w:hint="default"/>
    </w:rPr>
  </w:style>
  <w:style w:type="character" w:styleId="WW8Num4z2" w:customStyle="1">
    <w:name w:val="WW8Num4z2"/>
    <w:basedOn w:val="Carpredefinitoparagrafo"/>
    <w:rPr>
      <w:rFonts w:ascii="Wingdings" w:cs="Wingdings" w:hAnsi="Wingdings" w:hint="default"/>
    </w:rPr>
  </w:style>
  <w:style w:type="character" w:styleId="WW8Num4z3" w:customStyle="1">
    <w:name w:val="WW8Num4z3"/>
    <w:basedOn w:val="Carpredefinitoparagrafo"/>
    <w:rPr>
      <w:rFonts w:ascii="Symbol" w:cs="Symbol" w:hAnsi="Symbol" w:hint="default"/>
    </w:rPr>
  </w:style>
  <w:style w:type="character" w:styleId="WW8Num4z4" w:customStyle="1">
    <w:name w:val="WW8Num4z4"/>
    <w:basedOn w:val="Carpredefinitoparagrafo"/>
    <w:rPr>
      <w:rFonts w:ascii="Courier New" w:cs="Courier New" w:hAnsi="Courier New" w:hint="default"/>
    </w:rPr>
  </w:style>
  <w:style w:type="character" w:styleId="WW8Num5z1" w:customStyle="1">
    <w:name w:val="WW8Num5z1"/>
    <w:basedOn w:val="Carpredefinitoparagrafo"/>
    <w:rPr>
      <w:rFonts w:ascii="Courier New" w:cs="Courier New" w:hAnsi="Courier New" w:hint="default"/>
    </w:rPr>
  </w:style>
  <w:style w:type="character" w:styleId="WW8Num5z2" w:customStyle="1">
    <w:name w:val="WW8Num5z2"/>
    <w:basedOn w:val="Carpredefinitoparagrafo"/>
    <w:rPr>
      <w:rFonts w:ascii="Wingdings" w:cs="Wingdings" w:hAnsi="Wingdings" w:hint="default"/>
    </w:rPr>
  </w:style>
  <w:style w:type="character" w:styleId="WW8Num5z3" w:customStyle="1">
    <w:name w:val="WW8Num5z3"/>
    <w:basedOn w:val="Carpredefinitoparagrafo"/>
    <w:rPr>
      <w:rFonts w:ascii="Symbol" w:cs="Symbol" w:hAnsi="Symbol" w:hint="default"/>
    </w:rPr>
  </w:style>
  <w:style w:type="character" w:styleId="WW8Num6z1" w:customStyle="1">
    <w:name w:val="WW8Num6z1"/>
    <w:basedOn w:val="Carpredefinitoparagrafo"/>
    <w:rPr>
      <w:rFonts w:ascii="Courier New" w:cs="Courier New" w:hAnsi="Courier New" w:hint="default"/>
    </w:rPr>
  </w:style>
  <w:style w:type="character" w:styleId="WW8Num6z2" w:customStyle="1">
    <w:name w:val="WW8Num6z2"/>
    <w:basedOn w:val="Carpredefinitoparagrafo"/>
    <w:rPr>
      <w:rFonts w:ascii="Wingdings" w:cs="Wingdings" w:hAnsi="Wingdings" w:hint="default"/>
    </w:rPr>
  </w:style>
  <w:style w:type="character" w:styleId="WW8Num6z3" w:customStyle="1">
    <w:name w:val="WW8Num6z3"/>
    <w:basedOn w:val="Carpredefinitoparagrafo"/>
    <w:rPr>
      <w:rFonts w:ascii="Symbol" w:cs="Symbol" w:hAnsi="Symbol" w:hint="default"/>
    </w:rPr>
  </w:style>
  <w:style w:type="character" w:styleId="WW8Num7z0" w:customStyle="1">
    <w:name w:val="WW8Num7z0"/>
    <w:basedOn w:val="Carpredefinitoparagrafo"/>
    <w:rPr>
      <w:rFonts w:ascii="Times New Roman" w:cs="Times New Roman" w:hAnsi="Times New Roman" w:hint="default"/>
      <w:sz w:val="22"/>
      <w:szCs w:val="22"/>
    </w:rPr>
  </w:style>
  <w:style w:type="character" w:styleId="WW8Num7z1" w:customStyle="1">
    <w:name w:val="WW8Num7z1"/>
    <w:basedOn w:val="Carpredefinitoparagrafo"/>
    <w:rPr>
      <w:rFonts w:ascii="Courier New" w:cs="Courier New" w:hAnsi="Courier New" w:hint="default"/>
    </w:rPr>
  </w:style>
  <w:style w:type="character" w:styleId="WW8Num7z2" w:customStyle="1">
    <w:name w:val="WW8Num7z2"/>
    <w:basedOn w:val="Carpredefinitoparagrafo"/>
    <w:rPr>
      <w:rFonts w:ascii="Wingdings" w:cs="Wingdings" w:hAnsi="Wingdings" w:hint="default"/>
    </w:rPr>
  </w:style>
  <w:style w:type="character" w:styleId="WW8Num7z3" w:customStyle="1">
    <w:name w:val="WW8Num7z3"/>
    <w:basedOn w:val="Carpredefinitoparagrafo"/>
    <w:rPr>
      <w:rFonts w:ascii="Symbol" w:cs="Symbol" w:hAnsi="Symbol" w:hint="default"/>
    </w:rPr>
  </w:style>
  <w:style w:type="character" w:styleId="WW8Num8z0" w:customStyle="1">
    <w:name w:val="WW8Num8z0"/>
    <w:basedOn w:val="Carpredefinitoparagrafo"/>
    <w:rPr>
      <w:rFonts w:hint="default"/>
    </w:rPr>
  </w:style>
  <w:style w:type="character" w:styleId="WW8Num9z0" w:customStyle="1">
    <w:name w:val="WW8Num9z0"/>
    <w:basedOn w:val="Carpredefinitoparagrafo"/>
    <w:rPr>
      <w:rFonts w:ascii="Wingdings" w:cs="Wingdings" w:hAnsi="Wingdings" w:hint="default"/>
      <w:sz w:val="16"/>
    </w:rPr>
  </w:style>
  <w:style w:type="character" w:styleId="WW8Num9z1" w:customStyle="1">
    <w:name w:val="WW8Num9z1"/>
    <w:basedOn w:val="Carpredefinitoparagrafo"/>
    <w:rPr>
      <w:rFonts w:ascii="Courier New" w:cs="Courier New" w:hAnsi="Courier New" w:hint="default"/>
    </w:rPr>
  </w:style>
  <w:style w:type="character" w:styleId="WW8Num9z2" w:customStyle="1">
    <w:name w:val="WW8Num9z2"/>
    <w:basedOn w:val="Carpredefinitoparagrafo"/>
    <w:rPr>
      <w:rFonts w:ascii="Wingdings" w:cs="Wingdings" w:hAnsi="Wingdings" w:hint="default"/>
    </w:rPr>
  </w:style>
  <w:style w:type="character" w:styleId="WW8Num9z3" w:customStyle="1">
    <w:name w:val="WW8Num9z3"/>
    <w:basedOn w:val="Carpredefinitoparagrafo"/>
    <w:rPr>
      <w:rFonts w:ascii="Symbol" w:cs="Symbol" w:hAnsi="Symbol" w:hint="default"/>
    </w:rPr>
  </w:style>
  <w:style w:type="character" w:styleId="WW8Num10z0" w:customStyle="1">
    <w:name w:val="WW8Num10z0"/>
    <w:basedOn w:val="Carpredefinitoparagrafo"/>
    <w:rPr>
      <w:rFonts w:ascii="Times New Roman" w:cs="Times New Roman" w:hAnsi="Times New Roman" w:hint="default"/>
      <w:b w:val="1"/>
      <w:bCs w:val="1"/>
      <w:sz w:val="28"/>
      <w:szCs w:val="24"/>
    </w:rPr>
  </w:style>
  <w:style w:type="character" w:styleId="WW8Num10z1" w:customStyle="1">
    <w:name w:val="WW8Num10z1"/>
    <w:basedOn w:val="Carpredefinitoparagrafo"/>
    <w:rPr>
      <w:rFonts w:hint="default"/>
      <w:b w:val="0"/>
    </w:rPr>
  </w:style>
  <w:style w:type="character" w:styleId="WW8Num10z2" w:customStyle="1">
    <w:name w:val="WW8Num10z2"/>
    <w:basedOn w:val="Carpredefinitoparagrafo"/>
    <w:rPr>
      <w:rFonts w:ascii="Symbol" w:cs="Symbol" w:hAnsi="Symbol" w:hint="default"/>
    </w:rPr>
  </w:style>
  <w:style w:type="character" w:styleId="WW8Num10z3" w:customStyle="1">
    <w:name w:val="WW8Num10z3"/>
    <w:basedOn w:val="Carpredefinitoparagrafo"/>
    <w:rPr/>
  </w:style>
  <w:style w:type="character" w:styleId="WW8Num10z4" w:customStyle="1">
    <w:name w:val="WW8Num10z4"/>
    <w:basedOn w:val="Carpredefinitoparagrafo"/>
    <w:rPr/>
  </w:style>
  <w:style w:type="character" w:styleId="WW8Num10z5" w:customStyle="1">
    <w:name w:val="WW8Num10z5"/>
    <w:basedOn w:val="Carpredefinitoparagrafo"/>
    <w:rPr/>
  </w:style>
  <w:style w:type="character" w:styleId="WW8Num10z6" w:customStyle="1">
    <w:name w:val="WW8Num10z6"/>
    <w:basedOn w:val="Carpredefinitoparagrafo"/>
    <w:rPr/>
  </w:style>
  <w:style w:type="character" w:styleId="WW8Num10z7" w:customStyle="1">
    <w:name w:val="WW8Num10z7"/>
    <w:basedOn w:val="Carpredefinitoparagrafo"/>
    <w:rPr/>
  </w:style>
  <w:style w:type="character" w:styleId="WW8Num10z8" w:customStyle="1">
    <w:name w:val="WW8Num10z8"/>
    <w:basedOn w:val="Carpredefinitoparagrafo"/>
    <w:rPr/>
  </w:style>
  <w:style w:type="character" w:styleId="WW8Num11z0" w:customStyle="1">
    <w:name w:val="WW8Num11z0"/>
    <w:basedOn w:val="Carpredefinitoparagrafo"/>
    <w:rPr>
      <w:rFonts w:ascii="Wingdings" w:cs="Wingdings" w:hAnsi="Wingdings" w:hint="default"/>
    </w:rPr>
  </w:style>
  <w:style w:type="character" w:styleId="WW8Num11z1" w:customStyle="1">
    <w:name w:val="WW8Num11z1"/>
    <w:basedOn w:val="Carpredefinitoparagrafo"/>
    <w:rPr>
      <w:rFonts w:ascii="Courier New" w:cs="Courier New" w:hAnsi="Courier New" w:hint="default"/>
    </w:rPr>
  </w:style>
  <w:style w:type="character" w:styleId="WW8Num11z3" w:customStyle="1">
    <w:name w:val="WW8Num11z3"/>
    <w:basedOn w:val="Carpredefinitoparagrafo"/>
    <w:rPr>
      <w:rFonts w:ascii="Symbol" w:cs="Symbol" w:hAnsi="Symbol" w:hint="default"/>
    </w:rPr>
  </w:style>
  <w:style w:type="character" w:styleId="WW8Num12z0" w:customStyle="1">
    <w:name w:val="WW8Num12z0"/>
    <w:basedOn w:val="Carpredefinitoparagrafo"/>
    <w:rPr>
      <w:rFonts w:ascii="Wingdings" w:cs="Wingdings" w:hAnsi="Wingdings" w:hint="default"/>
    </w:rPr>
  </w:style>
  <w:style w:type="character" w:styleId="WW8Num12z1" w:customStyle="1">
    <w:name w:val="WW8Num12z1"/>
    <w:basedOn w:val="Carpredefinitoparagrafo"/>
    <w:rPr>
      <w:rFonts w:ascii="Courier New" w:cs="Courier New" w:hAnsi="Courier New" w:hint="default"/>
    </w:rPr>
  </w:style>
  <w:style w:type="character" w:styleId="WW8Num12z3" w:customStyle="1">
    <w:name w:val="WW8Num12z3"/>
    <w:basedOn w:val="Carpredefinitoparagrafo"/>
    <w:rPr>
      <w:rFonts w:ascii="Symbol" w:cs="Symbol" w:hAnsi="Symbol" w:hint="default"/>
    </w:rPr>
  </w:style>
  <w:style w:type="character" w:styleId="WW8Num13z0" w:customStyle="1">
    <w:name w:val="WW8Num13z0"/>
    <w:basedOn w:val="Carpredefinitoparagrafo"/>
    <w:rPr>
      <w:rFonts w:ascii="Times New Roman" w:cs="Times New Roman" w:hAnsi="Times New Roman" w:hint="default"/>
    </w:rPr>
  </w:style>
  <w:style w:type="character" w:styleId="WW8Num13z1" w:customStyle="1">
    <w:name w:val="WW8Num13z1"/>
    <w:basedOn w:val="Carpredefinitoparagrafo"/>
    <w:rPr>
      <w:rFonts w:ascii="Courier New" w:cs="Courier New" w:hAnsi="Courier New" w:hint="default"/>
    </w:rPr>
  </w:style>
  <w:style w:type="character" w:styleId="WW8Num13z2" w:customStyle="1">
    <w:name w:val="WW8Num13z2"/>
    <w:basedOn w:val="Carpredefinitoparagrafo"/>
    <w:rPr>
      <w:rFonts w:ascii="Wingdings" w:cs="Wingdings" w:hAnsi="Wingdings" w:hint="default"/>
    </w:rPr>
  </w:style>
  <w:style w:type="character" w:styleId="WW8Num13z3" w:customStyle="1">
    <w:name w:val="WW8Num13z3"/>
    <w:basedOn w:val="Carpredefinitoparagrafo"/>
    <w:rPr>
      <w:rFonts w:ascii="Symbol" w:cs="Symbol" w:hAnsi="Symbol" w:hint="default"/>
    </w:rPr>
  </w:style>
  <w:style w:type="character" w:styleId="WW8Num14z0" w:customStyle="1">
    <w:name w:val="WW8Num14z0"/>
    <w:basedOn w:val="Carpredefinitoparagrafo"/>
    <w:rPr>
      <w:rFonts w:ascii="Symbol" w:cs="Symbol" w:hAnsi="Symbol" w:hint="default"/>
    </w:rPr>
  </w:style>
  <w:style w:type="character" w:styleId="WW8Num14z1" w:customStyle="1">
    <w:name w:val="WW8Num14z1"/>
    <w:basedOn w:val="Carpredefinitoparagrafo"/>
    <w:rPr>
      <w:rFonts w:ascii="Courier New" w:cs="Courier New" w:hAnsi="Courier New" w:hint="default"/>
    </w:rPr>
  </w:style>
  <w:style w:type="character" w:styleId="WW8Num14z5" w:customStyle="1">
    <w:name w:val="WW8Num14z5"/>
    <w:basedOn w:val="Carpredefinitoparagrafo"/>
    <w:rPr>
      <w:rFonts w:ascii="Wingdings" w:cs="Wingdings" w:hAnsi="Wingdings" w:hint="default"/>
    </w:rPr>
  </w:style>
  <w:style w:type="character" w:styleId="WW8Num15z0" w:customStyle="1">
    <w:name w:val="WW8Num15z0"/>
    <w:basedOn w:val="Carpredefinitoparagrafo"/>
    <w:rPr>
      <w:rFonts w:hint="default"/>
    </w:rPr>
  </w:style>
  <w:style w:type="character" w:styleId="WW8Num15z1" w:customStyle="1">
    <w:name w:val="WW8Num15z1"/>
    <w:basedOn w:val="Carpredefinitoparagrafo"/>
    <w:rPr>
      <w:rFonts w:ascii="Courier New" w:cs="Courier New" w:hAnsi="Courier New" w:hint="default"/>
    </w:rPr>
  </w:style>
  <w:style w:type="character" w:styleId="WW8Num15z2" w:customStyle="1">
    <w:name w:val="WW8Num15z2"/>
    <w:basedOn w:val="Carpredefinitoparagrafo"/>
    <w:rPr>
      <w:rFonts w:ascii="ComicSansMS" w:cs="ComicSansMS" w:eastAsia="Calibri" w:hAnsi="ComicSansMS" w:hint="default"/>
    </w:rPr>
  </w:style>
  <w:style w:type="character" w:styleId="WW8Num15z3" w:customStyle="1">
    <w:name w:val="WW8Num15z3"/>
    <w:basedOn w:val="Carpredefinitoparagrafo"/>
    <w:rPr/>
  </w:style>
  <w:style w:type="character" w:styleId="WW8Num15z4" w:customStyle="1">
    <w:name w:val="WW8Num15z4"/>
    <w:basedOn w:val="Carpredefinitoparagrafo"/>
    <w:rPr/>
  </w:style>
  <w:style w:type="character" w:styleId="WW8Num15z5" w:customStyle="1">
    <w:name w:val="WW8Num15z5"/>
    <w:basedOn w:val="Carpredefinitoparagrafo"/>
    <w:rPr/>
  </w:style>
  <w:style w:type="character" w:styleId="WW8Num15z6" w:customStyle="1">
    <w:name w:val="WW8Num15z6"/>
    <w:basedOn w:val="Carpredefinitoparagrafo"/>
    <w:rPr/>
  </w:style>
  <w:style w:type="character" w:styleId="WW8Num15z7" w:customStyle="1">
    <w:name w:val="WW8Num15z7"/>
    <w:basedOn w:val="Carpredefinitoparagrafo"/>
    <w:rPr/>
  </w:style>
  <w:style w:type="character" w:styleId="WW8Num15z8" w:customStyle="1">
    <w:name w:val="WW8Num15z8"/>
    <w:basedOn w:val="Carpredefinitoparagrafo"/>
    <w:rPr/>
  </w:style>
  <w:style w:type="character" w:styleId="WW8Num16z0" w:customStyle="1">
    <w:name w:val="WW8Num16z0"/>
    <w:basedOn w:val="Carpredefinitoparagrafo"/>
    <w:rPr>
      <w:rFonts w:ascii="Times New Roman" w:cs="Times New Roman" w:hAnsi="Times New Roman" w:hint="default"/>
    </w:rPr>
  </w:style>
  <w:style w:type="character" w:styleId="WW8Num16z1" w:customStyle="1">
    <w:name w:val="WW8Num16z1"/>
    <w:basedOn w:val="Carpredefinitoparagrafo"/>
    <w:rPr/>
  </w:style>
  <w:style w:type="character" w:styleId="WW8Num16z2" w:customStyle="1">
    <w:name w:val="WW8Num16z2"/>
    <w:basedOn w:val="Carpredefinitoparagrafo"/>
    <w:rPr>
      <w:rFonts w:hint="default"/>
      <w:b w:val="1"/>
    </w:rPr>
  </w:style>
  <w:style w:type="character" w:styleId="WW8Num16z3" w:customStyle="1">
    <w:name w:val="WW8Num16z3"/>
    <w:basedOn w:val="Carpredefinitoparagrafo"/>
    <w:rPr/>
  </w:style>
  <w:style w:type="character" w:styleId="WW8Num16z4" w:customStyle="1">
    <w:name w:val="WW8Num16z4"/>
    <w:basedOn w:val="Carpredefinitoparagrafo"/>
    <w:rPr/>
  </w:style>
  <w:style w:type="character" w:styleId="WW8Num16z5" w:customStyle="1">
    <w:name w:val="WW8Num16z5"/>
    <w:basedOn w:val="Carpredefinitoparagrafo"/>
    <w:rPr/>
  </w:style>
  <w:style w:type="character" w:styleId="WW8Num16z6" w:customStyle="1">
    <w:name w:val="WW8Num16z6"/>
    <w:basedOn w:val="Carpredefinitoparagrafo"/>
    <w:rPr/>
  </w:style>
  <w:style w:type="character" w:styleId="WW8Num16z7" w:customStyle="1">
    <w:name w:val="WW8Num16z7"/>
    <w:basedOn w:val="Carpredefinitoparagrafo"/>
    <w:rPr/>
  </w:style>
  <w:style w:type="character" w:styleId="WW8Num16z8" w:customStyle="1">
    <w:name w:val="WW8Num16z8"/>
    <w:basedOn w:val="Carpredefinitoparagrafo"/>
    <w:rPr/>
  </w:style>
  <w:style w:type="character" w:styleId="WW8Num17z0" w:customStyle="1">
    <w:name w:val="WW8Num17z0"/>
    <w:basedOn w:val="Carpredefinitoparagrafo"/>
    <w:rPr>
      <w:rFonts w:ascii="Symbol" w:cs="Times New Roman" w:hAnsi="Symbol" w:hint="default"/>
      <w:caps w:val="0"/>
      <w:smallCaps w:val="0"/>
      <w:strike w:val="0"/>
      <w:dstrike w:val="0"/>
      <w:vanish w:val="0"/>
      <w:color w:val="000000"/>
      <w:position w:val="0"/>
      <w:sz w:val="24"/>
      <w:vertAlign w:val="baseline"/>
      <w14:shadow w14:algn="none">
        <w14:srgbClr w14:val="000000"/>
      </w14:shadow>
      <w14:textOutline w14:cap="rnd" w14:cmpd="sng" w14:algn="ctr">
        <w14:noFill/>
        <w14:prstDash w14:val="solid"/>
        <w14:bevel/>
      </w14:textOutline>
    </w:rPr>
  </w:style>
  <w:style w:type="character" w:styleId="WW8Num17z1" w:customStyle="1">
    <w:name w:val="WW8Num17z1"/>
    <w:basedOn w:val="Carpredefinitoparagrafo"/>
    <w:rPr>
      <w:rFonts w:ascii="Courier New" w:cs="Courier New" w:hAnsi="Courier New" w:hint="default"/>
    </w:rPr>
  </w:style>
  <w:style w:type="character" w:styleId="WW8Num17z2" w:customStyle="1">
    <w:name w:val="WW8Num17z2"/>
    <w:basedOn w:val="Carpredefinitoparagrafo"/>
    <w:rPr>
      <w:rFonts w:ascii="Wingdings" w:cs="Wingdings" w:hAnsi="Wingdings" w:hint="default"/>
    </w:rPr>
  </w:style>
  <w:style w:type="character" w:styleId="WW8Num17z3" w:customStyle="1">
    <w:name w:val="WW8Num17z3"/>
    <w:basedOn w:val="Carpredefinitoparagrafo"/>
    <w:rPr>
      <w:rFonts w:ascii="Symbol" w:cs="Symbol" w:hAnsi="Symbol" w:hint="default"/>
    </w:rPr>
  </w:style>
  <w:style w:type="character" w:styleId="WW8Num18z0" w:customStyle="1">
    <w:name w:val="WW8Num18z0"/>
    <w:basedOn w:val="Carpredefinitoparagrafo"/>
    <w:rPr>
      <w:rFonts w:hint="default"/>
    </w:rPr>
  </w:style>
  <w:style w:type="character" w:styleId="WW8Num18z1" w:customStyle="1">
    <w:name w:val="WW8Num18z1"/>
    <w:basedOn w:val="Carpredefinitoparagrafo"/>
    <w:rPr/>
  </w:style>
  <w:style w:type="character" w:styleId="WW8Num18z2" w:customStyle="1">
    <w:name w:val="WW8Num18z2"/>
    <w:basedOn w:val="Carpredefinitoparagrafo"/>
    <w:rPr/>
  </w:style>
  <w:style w:type="character" w:styleId="WW8Num18z3" w:customStyle="1">
    <w:name w:val="WW8Num18z3"/>
    <w:basedOn w:val="Carpredefinitoparagrafo"/>
    <w:rPr/>
  </w:style>
  <w:style w:type="character" w:styleId="WW8Num18z4" w:customStyle="1">
    <w:name w:val="WW8Num18z4"/>
    <w:basedOn w:val="Carpredefinitoparagrafo"/>
    <w:rPr/>
  </w:style>
  <w:style w:type="character" w:styleId="WW8Num18z5" w:customStyle="1">
    <w:name w:val="WW8Num18z5"/>
    <w:basedOn w:val="Carpredefinitoparagrafo"/>
    <w:rPr/>
  </w:style>
  <w:style w:type="character" w:styleId="WW8Num18z6" w:customStyle="1">
    <w:name w:val="WW8Num18z6"/>
    <w:basedOn w:val="Carpredefinitoparagrafo"/>
    <w:rPr/>
  </w:style>
  <w:style w:type="character" w:styleId="WW8Num18z7" w:customStyle="1">
    <w:name w:val="WW8Num18z7"/>
    <w:basedOn w:val="Carpredefinitoparagrafo"/>
    <w:rPr/>
  </w:style>
  <w:style w:type="character" w:styleId="WW8Num18z8" w:customStyle="1">
    <w:name w:val="WW8Num18z8"/>
    <w:basedOn w:val="Carpredefinitoparagrafo"/>
    <w:rPr/>
  </w:style>
  <w:style w:type="character" w:styleId="WW8Num19z0" w:customStyle="1">
    <w:name w:val="WW8Num19z0"/>
    <w:basedOn w:val="Carpredefinitoparagrafo"/>
    <w:rPr>
      <w:rFonts w:ascii="Symbol" w:cs="Times New Roman" w:hAnsi="Symbol" w:hint="default"/>
      <w:caps w:val="0"/>
      <w:smallCaps w:val="0"/>
      <w:strike w:val="0"/>
      <w:dstrike w:val="0"/>
      <w:vanish w:val="0"/>
      <w:color w:val="000000"/>
      <w:position w:val="0"/>
      <w:sz w:val="24"/>
      <w:vertAlign w:val="baseline"/>
      <w14:shadow w14:algn="none">
        <w14:srgbClr w14:val="000000"/>
      </w14:shadow>
      <w14:textOutline w14:cap="rnd" w14:cmpd="sng" w14:algn="ctr">
        <w14:noFill/>
        <w14:prstDash w14:val="solid"/>
        <w14:bevel/>
      </w14:textOutline>
    </w:rPr>
  </w:style>
  <w:style w:type="character" w:styleId="WW8Num19z1" w:customStyle="1">
    <w:name w:val="WW8Num19z1"/>
    <w:basedOn w:val="Carpredefinitoparagrafo"/>
    <w:rPr>
      <w:rFonts w:ascii="Times New Roman" w:cs="Times New Roman" w:hAnsi="Times New Roman" w:hint="default"/>
      <w:sz w:val="28"/>
      <w:szCs w:val="24"/>
    </w:rPr>
  </w:style>
  <w:style w:type="character" w:styleId="WW8Num19z2" w:customStyle="1">
    <w:name w:val="WW8Num19z2"/>
    <w:basedOn w:val="Carpredefinitoparagrafo"/>
    <w:rPr>
      <w:rFonts w:hint="default"/>
    </w:rPr>
  </w:style>
  <w:style w:type="character" w:styleId="WW8Num19z3" w:customStyle="1">
    <w:name w:val="WW8Num19z3"/>
    <w:basedOn w:val="Carpredefinitoparagrafo"/>
    <w:rPr>
      <w:rFonts w:ascii="Symbol" w:cs="Symbol" w:hAnsi="Symbol" w:hint="default"/>
    </w:rPr>
  </w:style>
  <w:style w:type="character" w:styleId="WW8Num19z4" w:customStyle="1">
    <w:name w:val="WW8Num19z4"/>
    <w:basedOn w:val="Carpredefinitoparagrafo"/>
    <w:rPr>
      <w:rFonts w:ascii="Courier New" w:cs="Courier New" w:hAnsi="Courier New" w:hint="default"/>
    </w:rPr>
  </w:style>
  <w:style w:type="character" w:styleId="WW8Num19z5" w:customStyle="1">
    <w:name w:val="WW8Num19z5"/>
    <w:basedOn w:val="Carpredefinitoparagrafo"/>
    <w:rPr>
      <w:rFonts w:ascii="Wingdings" w:cs="Wingdings" w:hAnsi="Wingdings" w:hint="default"/>
    </w:rPr>
  </w:style>
  <w:style w:type="character" w:styleId="WW8Num20z0" w:customStyle="1">
    <w:name w:val="WW8Num20z0"/>
    <w:basedOn w:val="Carpredefinitoparagrafo"/>
    <w:rPr/>
  </w:style>
  <w:style w:type="character" w:styleId="WW8Num20z1" w:customStyle="1">
    <w:name w:val="WW8Num20z1"/>
    <w:basedOn w:val="Carpredefinitoparagrafo"/>
    <w:rPr>
      <w:rFonts w:ascii="Wingdings" w:cs="Wingdings" w:hAnsi="Wingdings" w:hint="default"/>
    </w:rPr>
  </w:style>
  <w:style w:type="character" w:styleId="WW8Num20z2" w:customStyle="1">
    <w:name w:val="WW8Num20z2"/>
    <w:basedOn w:val="Carpredefinitoparagrafo"/>
    <w:rPr>
      <w:rFonts w:hint="default"/>
    </w:rPr>
  </w:style>
  <w:style w:type="character" w:styleId="WW8Num20z3" w:customStyle="1">
    <w:name w:val="WW8Num20z3"/>
    <w:basedOn w:val="Carpredefinitoparagrafo"/>
    <w:rPr/>
  </w:style>
  <w:style w:type="character" w:styleId="WW8Num20z4" w:customStyle="1">
    <w:name w:val="WW8Num20z4"/>
    <w:basedOn w:val="Carpredefinitoparagrafo"/>
    <w:rPr/>
  </w:style>
  <w:style w:type="character" w:styleId="WW8Num20z5" w:customStyle="1">
    <w:name w:val="WW8Num20z5"/>
    <w:basedOn w:val="Carpredefinitoparagrafo"/>
    <w:rPr/>
  </w:style>
  <w:style w:type="character" w:styleId="WW8Num20z6" w:customStyle="1">
    <w:name w:val="WW8Num20z6"/>
    <w:basedOn w:val="Carpredefinitoparagrafo"/>
    <w:rPr/>
  </w:style>
  <w:style w:type="character" w:styleId="WW8Num20z7" w:customStyle="1">
    <w:name w:val="WW8Num20z7"/>
    <w:basedOn w:val="Carpredefinitoparagrafo"/>
    <w:rPr/>
  </w:style>
  <w:style w:type="character" w:styleId="WW8Num20z8" w:customStyle="1">
    <w:name w:val="WW8Num20z8"/>
    <w:basedOn w:val="Carpredefinitoparagrafo"/>
    <w:rPr/>
  </w:style>
  <w:style w:type="character" w:styleId="WW8Num21z0" w:customStyle="1">
    <w:name w:val="WW8Num21z0"/>
    <w:basedOn w:val="Carpredefinitoparagrafo"/>
    <w:rPr>
      <w:rFonts w:ascii="Wingdings" w:cs="Wingdings" w:hAnsi="Wingdings" w:hint="default"/>
    </w:rPr>
  </w:style>
  <w:style w:type="character" w:styleId="WW8Num21z1" w:customStyle="1">
    <w:name w:val="WW8Num21z1"/>
    <w:basedOn w:val="Carpredefinitoparagrafo"/>
    <w:rPr>
      <w:rFonts w:ascii="Courier New" w:cs="Courier New" w:hAnsi="Courier New" w:hint="default"/>
    </w:rPr>
  </w:style>
  <w:style w:type="character" w:styleId="WW8Num21z3" w:customStyle="1">
    <w:name w:val="WW8Num21z3"/>
    <w:basedOn w:val="Carpredefinitoparagrafo"/>
    <w:rPr>
      <w:rFonts w:ascii="Symbol" w:cs="Symbol" w:hAnsi="Symbol" w:hint="default"/>
    </w:rPr>
  </w:style>
  <w:style w:type="character" w:styleId="WW8Num22z0" w:customStyle="1">
    <w:name w:val="WW8Num22z0"/>
    <w:basedOn w:val="Carpredefinitoparagrafo"/>
    <w:rPr/>
  </w:style>
  <w:style w:type="character" w:styleId="WW8Num22z1" w:customStyle="1">
    <w:name w:val="WW8Num22z1"/>
    <w:basedOn w:val="Carpredefinitoparagrafo"/>
    <w:rPr>
      <w:rFonts w:ascii="Symbol" w:cs="Symbol" w:hAnsi="Symbol" w:hint="default"/>
    </w:rPr>
  </w:style>
  <w:style w:type="character" w:styleId="WW8Num22z4" w:customStyle="1">
    <w:name w:val="WW8Num22z4"/>
    <w:basedOn w:val="Carpredefinitoparagrafo"/>
    <w:rPr/>
  </w:style>
  <w:style w:type="character" w:styleId="WW8Num22z5" w:customStyle="1">
    <w:name w:val="WW8Num22z5"/>
    <w:basedOn w:val="Carpredefinitoparagrafo"/>
    <w:rPr/>
  </w:style>
  <w:style w:type="character" w:styleId="WW8Num22z6" w:customStyle="1">
    <w:name w:val="WW8Num22z6"/>
    <w:basedOn w:val="Carpredefinitoparagrafo"/>
    <w:rPr/>
  </w:style>
  <w:style w:type="character" w:styleId="WW8Num22z7" w:customStyle="1">
    <w:name w:val="WW8Num22z7"/>
    <w:basedOn w:val="Carpredefinitoparagrafo"/>
    <w:rPr/>
  </w:style>
  <w:style w:type="character" w:styleId="WW8Num22z8" w:customStyle="1">
    <w:name w:val="WW8Num22z8"/>
    <w:basedOn w:val="Carpredefinitoparagrafo"/>
    <w:rPr/>
  </w:style>
  <w:style w:type="character" w:styleId="WW8Num23z0" w:customStyle="1">
    <w:name w:val="WW8Num23z0"/>
    <w:basedOn w:val="Carpredefinitoparagrafo"/>
    <w:rPr>
      <w:rFonts w:ascii="Symbol" w:cs="Symbol" w:hAnsi="Symbol" w:hint="default"/>
    </w:rPr>
  </w:style>
  <w:style w:type="character" w:styleId="WW8Num23z1" w:customStyle="1">
    <w:name w:val="WW8Num23z1"/>
    <w:basedOn w:val="Carpredefinitoparagrafo"/>
    <w:rPr>
      <w:rFonts w:ascii="Courier New" w:cs="Courier New" w:hAnsi="Courier New" w:hint="default"/>
    </w:rPr>
  </w:style>
  <w:style w:type="character" w:styleId="WW8Num23z2" w:customStyle="1">
    <w:name w:val="WW8Num23z2"/>
    <w:basedOn w:val="Carpredefinitoparagrafo"/>
    <w:rPr>
      <w:rFonts w:ascii="Wingdings" w:cs="Wingdings" w:hAnsi="Wingdings" w:hint="default"/>
    </w:rPr>
  </w:style>
  <w:style w:type="character" w:styleId="WW8Num24z0" w:customStyle="1">
    <w:name w:val="WW8Num24z0"/>
    <w:basedOn w:val="Carpredefinitoparagrafo"/>
    <w:rPr>
      <w:rFonts w:hint="default"/>
    </w:rPr>
  </w:style>
  <w:style w:type="character" w:styleId="WW8Num24z1" w:customStyle="1">
    <w:name w:val="WW8Num24z1"/>
    <w:basedOn w:val="Carpredefinitoparagrafo"/>
    <w:rPr>
      <w:rFonts w:ascii="Times New Roman" w:cs="Times New Roman" w:eastAsia="Times New Roman" w:hAnsi="Times New Roman" w:hint="default"/>
    </w:rPr>
  </w:style>
  <w:style w:type="character" w:styleId="WW8Num24z2" w:customStyle="1">
    <w:name w:val="WW8Num24z2"/>
    <w:basedOn w:val="Carpredefinitoparagrafo"/>
    <w:rPr>
      <w:rFonts w:hint="default"/>
      <w:b w:val="1"/>
    </w:rPr>
  </w:style>
  <w:style w:type="character" w:styleId="WW8Num24z3" w:customStyle="1">
    <w:name w:val="WW8Num24z3"/>
    <w:basedOn w:val="Carpredefinitoparagrafo"/>
    <w:rPr>
      <w:rFonts w:ascii="Monotype Sorts" w:cs="Times New Roman" w:eastAsia="Times New Roman" w:hAnsi="Monotype Sorts" w:hint="default"/>
      <w:b w:val="1"/>
    </w:rPr>
  </w:style>
  <w:style w:type="character" w:styleId="WW8Num24z4" w:customStyle="1">
    <w:name w:val="WW8Num24z4"/>
    <w:basedOn w:val="Carpredefinitoparagrafo"/>
    <w:rPr/>
  </w:style>
  <w:style w:type="character" w:styleId="WW8Num24z5" w:customStyle="1">
    <w:name w:val="WW8Num24z5"/>
    <w:basedOn w:val="Carpredefinitoparagrafo"/>
    <w:rPr/>
  </w:style>
  <w:style w:type="character" w:styleId="WW8Num24z6" w:customStyle="1">
    <w:name w:val="WW8Num24z6"/>
    <w:basedOn w:val="Carpredefinitoparagrafo"/>
    <w:rPr/>
  </w:style>
  <w:style w:type="character" w:styleId="WW8Num24z7" w:customStyle="1">
    <w:name w:val="WW8Num24z7"/>
    <w:basedOn w:val="Carpredefinitoparagrafo"/>
    <w:rPr/>
  </w:style>
  <w:style w:type="character" w:styleId="WW8Num24z8" w:customStyle="1">
    <w:name w:val="WW8Num24z8"/>
    <w:basedOn w:val="Carpredefinitoparagrafo"/>
    <w:rPr/>
  </w:style>
  <w:style w:type="character" w:styleId="WW8Num25z0" w:customStyle="1">
    <w:name w:val="WW8Num25z0"/>
    <w:basedOn w:val="Carpredefinitoparagrafo"/>
    <w:rPr/>
  </w:style>
  <w:style w:type="character" w:styleId="WW8Num26z0" w:customStyle="1">
    <w:name w:val="WW8Num26z0"/>
    <w:basedOn w:val="Carpredefinitoparagrafo"/>
    <w:rPr>
      <w:rFonts w:ascii="Wingdings" w:cs="Wingdings" w:hAnsi="Wingdings" w:hint="default"/>
    </w:rPr>
  </w:style>
  <w:style w:type="character" w:styleId="WW8Num26z1" w:customStyle="1">
    <w:name w:val="WW8Num26z1"/>
    <w:basedOn w:val="Carpredefinitoparagrafo"/>
    <w:rPr>
      <w:rFonts w:ascii="Courier New" w:cs="Courier New" w:hAnsi="Courier New" w:hint="default"/>
    </w:rPr>
  </w:style>
  <w:style w:type="character" w:styleId="WW8Num26z3" w:customStyle="1">
    <w:name w:val="WW8Num26z3"/>
    <w:basedOn w:val="Carpredefinitoparagrafo"/>
    <w:rPr>
      <w:rFonts w:ascii="Symbol" w:cs="Symbol" w:hAnsi="Symbol" w:hint="default"/>
    </w:rPr>
  </w:style>
  <w:style w:type="character" w:styleId="WW8Num27z0" w:customStyle="1">
    <w:name w:val="WW8Num27z0"/>
    <w:basedOn w:val="Carpredefinitoparagrafo"/>
    <w:rPr>
      <w:rFonts w:ascii="Times New Roman" w:cs="Times New Roman" w:eastAsia="Times New Roman" w:hAnsi="Times New Roman" w:hint="default"/>
    </w:rPr>
  </w:style>
  <w:style w:type="character" w:styleId="WW8Num27z1" w:customStyle="1">
    <w:name w:val="WW8Num27z1"/>
    <w:basedOn w:val="Carpredefinitoparagrafo"/>
    <w:rPr>
      <w:rFonts w:ascii="Courier New" w:cs="Courier New" w:hAnsi="Courier New" w:hint="default"/>
    </w:rPr>
  </w:style>
  <w:style w:type="character" w:styleId="WW8Num27z2" w:customStyle="1">
    <w:name w:val="WW8Num27z2"/>
    <w:basedOn w:val="Carpredefinitoparagrafo"/>
    <w:rPr>
      <w:rFonts w:ascii="Wingdings" w:cs="Wingdings" w:hAnsi="Wingdings" w:hint="default"/>
    </w:rPr>
  </w:style>
  <w:style w:type="character" w:styleId="WW8Num27z3" w:customStyle="1">
    <w:name w:val="WW8Num27z3"/>
    <w:basedOn w:val="Carpredefinitoparagrafo"/>
    <w:rPr>
      <w:rFonts w:ascii="Symbol" w:cs="Symbol" w:hAnsi="Symbol" w:hint="default"/>
    </w:rPr>
  </w:style>
  <w:style w:type="character" w:styleId="WW8Num28z0" w:customStyle="1">
    <w:name w:val="WW8Num28z0"/>
    <w:basedOn w:val="Carpredefinitoparagrafo"/>
    <w:rPr>
      <w:rFonts w:hint="default"/>
    </w:rPr>
  </w:style>
  <w:style w:type="character" w:styleId="WW8Num28z2" w:customStyle="1">
    <w:name w:val="WW8Num28z2"/>
    <w:basedOn w:val="Carpredefinitoparagrafo"/>
    <w:rPr/>
  </w:style>
  <w:style w:type="character" w:styleId="WW8Num28z3" w:customStyle="1">
    <w:name w:val="WW8Num28z3"/>
    <w:basedOn w:val="Carpredefinitoparagrafo"/>
    <w:rPr/>
  </w:style>
  <w:style w:type="character" w:styleId="WW8Num28z4" w:customStyle="1">
    <w:name w:val="WW8Num28z4"/>
    <w:basedOn w:val="Carpredefinitoparagrafo"/>
    <w:rPr/>
  </w:style>
  <w:style w:type="character" w:styleId="WW8Num28z5" w:customStyle="1">
    <w:name w:val="WW8Num28z5"/>
    <w:basedOn w:val="Carpredefinitoparagrafo"/>
    <w:rPr/>
  </w:style>
  <w:style w:type="character" w:styleId="WW8Num28z6" w:customStyle="1">
    <w:name w:val="WW8Num28z6"/>
    <w:basedOn w:val="Carpredefinitoparagrafo"/>
    <w:rPr/>
  </w:style>
  <w:style w:type="character" w:styleId="WW8Num28z7" w:customStyle="1">
    <w:name w:val="WW8Num28z7"/>
    <w:basedOn w:val="Carpredefinitoparagrafo"/>
    <w:rPr/>
  </w:style>
  <w:style w:type="character" w:styleId="WW8Num28z8" w:customStyle="1">
    <w:name w:val="WW8Num28z8"/>
    <w:basedOn w:val="Carpredefinitoparagrafo"/>
    <w:rPr/>
  </w:style>
  <w:style w:type="character" w:styleId="WW8Num29z0" w:customStyle="1">
    <w:name w:val="WW8Num29z0"/>
    <w:basedOn w:val="Carpredefinitoparagrafo"/>
    <w:rPr>
      <w:rFonts w:ascii="Symbol" w:cs="Symbol" w:hAnsi="Symbol" w:hint="default"/>
    </w:rPr>
  </w:style>
  <w:style w:type="character" w:styleId="WW8Num29z1" w:customStyle="1">
    <w:name w:val="WW8Num29z1"/>
    <w:basedOn w:val="Carpredefinitoparagrafo"/>
    <w:rPr>
      <w:rFonts w:ascii="Courier New" w:cs="Courier New" w:hAnsi="Courier New" w:hint="default"/>
    </w:rPr>
  </w:style>
  <w:style w:type="character" w:styleId="WW8Num29z2" w:customStyle="1">
    <w:name w:val="WW8Num29z2"/>
    <w:basedOn w:val="Carpredefinitoparagrafo"/>
    <w:rPr>
      <w:rFonts w:ascii="Wingdings" w:cs="Wingdings" w:hAnsi="Wingdings" w:hint="default"/>
    </w:rPr>
  </w:style>
  <w:style w:type="character" w:styleId="WW8Num30z0" w:customStyle="1">
    <w:name w:val="WW8Num30z0"/>
    <w:basedOn w:val="Carpredefinitoparagrafo"/>
    <w:rPr>
      <w:rFonts w:ascii="Times New Roman" w:cs="Times New Roman" w:hAnsi="Times New Roman" w:hint="default"/>
      <w:sz w:val="28"/>
    </w:rPr>
  </w:style>
  <w:style w:type="character" w:styleId="WW8Num30z1" w:customStyle="1">
    <w:name w:val="WW8Num30z1"/>
    <w:basedOn w:val="Carpredefinitoparagrafo"/>
    <w:rPr>
      <w:rFonts w:ascii="Wingdings" w:cs="Times New Roman" w:eastAsia="Arial Unicode MS" w:hAnsi="Wingdings" w:hint="default"/>
    </w:rPr>
  </w:style>
  <w:style w:type="character" w:styleId="WW8Num30z2" w:customStyle="1">
    <w:name w:val="WW8Num30z2"/>
    <w:basedOn w:val="Carpredefinitoparagrafo"/>
    <w:rPr>
      <w:rFonts w:ascii="Wingdings" w:cs="Wingdings" w:hAnsi="Wingdings" w:hint="default"/>
    </w:rPr>
  </w:style>
  <w:style w:type="character" w:styleId="WW8Num30z3" w:customStyle="1">
    <w:name w:val="WW8Num30z3"/>
    <w:basedOn w:val="Carpredefinitoparagrafo"/>
    <w:rPr>
      <w:rFonts w:ascii="Symbol" w:cs="Symbol" w:hAnsi="Symbol" w:hint="default"/>
    </w:rPr>
  </w:style>
  <w:style w:type="character" w:styleId="WW8Num30z4" w:customStyle="1">
    <w:name w:val="WW8Num30z4"/>
    <w:basedOn w:val="Carpredefinitoparagrafo"/>
    <w:rPr>
      <w:rFonts w:ascii="Courier New" w:cs="Courier New" w:hAnsi="Courier New" w:hint="default"/>
    </w:rPr>
  </w:style>
  <w:style w:type="character" w:styleId="WW8NumSt13z1" w:customStyle="1">
    <w:name w:val="WW8NumSt13z1"/>
    <w:basedOn w:val="Carpredefinitoparagrafo"/>
    <w:rPr>
      <w:rFonts w:ascii="Symbol" w:cs="Symbol" w:hAnsi="Symbol" w:hint="default"/>
    </w:rPr>
  </w:style>
  <w:style w:type="character" w:styleId="Carpredefinitoparagrafo1" w:customStyle="1">
    <w:name w:val="Car. predefinito paragrafo1"/>
    <w:basedOn w:val="Carpredefinitoparagrafo"/>
    <w:rPr/>
  </w:style>
  <w:style w:type="character" w:styleId="Caratteredellanota" w:customStyle="1">
    <w:name w:val="Carattere della nota"/>
    <w:basedOn w:val="Carpredefinitoparagrafo"/>
    <w:rPr>
      <w:vertAlign w:val="superscript"/>
    </w:rPr>
  </w:style>
  <w:style w:type="character" w:styleId="Numeropagina">
    <w:name w:val="Page Number"/>
    <w:basedOn w:val="Carpredefinitoparagrafo1"/>
    <w:rPr/>
  </w:style>
  <w:style w:type="character" w:styleId="Collegamentoipertestuale">
    <w:name w:val="Hyperlink"/>
    <w:basedOn w:val="Carpredefinitoparagrafo"/>
    <w:rPr>
      <w:color w:val="0000ff"/>
      <w:u w:val="single"/>
    </w:rPr>
  </w:style>
  <w:style w:type="character" w:styleId="Rientrocorpodeltesto2Carattere" w:customStyle="1">
    <w:name w:val="Rientro corpo del testo 2 Carattere"/>
    <w:basedOn w:val="Carpredefinitoparagrafo"/>
    <w:rPr>
      <w:sz w:val="24"/>
      <w:szCs w:val="24"/>
    </w:rPr>
  </w:style>
  <w:style w:type="character" w:styleId="TestofumettoCarattere" w:customStyle="1">
    <w:name w:val="Testo fumetto Carattere"/>
    <w:basedOn w:val="Carpredefinitoparagrafo"/>
    <w:rPr>
      <w:rFonts w:ascii="Tahoma" w:cs="Tahoma" w:hAnsi="Tahoma"/>
      <w:sz w:val="16"/>
      <w:szCs w:val="16"/>
    </w:rPr>
  </w:style>
  <w:style w:type="character" w:styleId="Titolo3Carattere" w:customStyle="1">
    <w:name w:val="Titolo 3 Carattere"/>
    <w:basedOn w:val="Carpredefinitoparagrafo"/>
    <w:rPr>
      <w:rFonts w:ascii="Cambria" w:cs="Times New Roman" w:eastAsia="Times New Roman" w:hAnsi="Cambria"/>
      <w:b w:val="1"/>
      <w:bCs w:val="1"/>
      <w:sz w:val="26"/>
      <w:szCs w:val="26"/>
    </w:rPr>
  </w:style>
  <w:style w:type="character" w:styleId="Titolo4Carattere" w:customStyle="1">
    <w:name w:val="Titolo 4 Carattere"/>
    <w:basedOn w:val="Carpredefinitoparagrafo"/>
    <w:rPr>
      <w:rFonts w:ascii="Calibri" w:cs="Times New Roman" w:eastAsia="Times New Roman" w:hAnsi="Calibri"/>
      <w:b w:val="1"/>
      <w:bCs w:val="1"/>
      <w:sz w:val="28"/>
      <w:szCs w:val="28"/>
    </w:rPr>
  </w:style>
  <w:style w:type="character" w:styleId="NessunoA" w:customStyle="1">
    <w:name w:val="Nessuno A"/>
    <w:basedOn w:val="Carpredefinitoparagrafo"/>
    <w:rPr/>
  </w:style>
  <w:style w:type="paragraph" w:styleId="Intestazione1" w:customStyle="1">
    <w:name w:val="Intestazione1"/>
    <w:basedOn w:val="Normale"/>
    <w:next w:val="Corpotesto"/>
    <w:pPr>
      <w:keepNext w:val="1"/>
      <w:spacing w:after="120" w:before="240"/>
    </w:pPr>
    <w:rPr>
      <w:rFonts w:ascii="Arial" w:cs="Arial Unicode MS" w:eastAsia="Arial Unicode MS" w:hAnsi="Arial"/>
      <w:sz w:val="28"/>
      <w:szCs w:val="28"/>
    </w:rPr>
  </w:style>
  <w:style w:type="paragraph" w:styleId="Corpotesto">
    <w:name w:val="Body Text"/>
    <w:basedOn w:val="Normale"/>
    <w:pPr>
      <w:spacing/>
      <w:jc w:val="center"/>
    </w:pPr>
    <w:rPr>
      <w:b w:val="1"/>
      <w:bCs w:val="1"/>
      <w:sz w:val="28"/>
    </w:rPr>
  </w:style>
  <w:style w:type="paragraph" w:styleId="Elenco">
    <w:name w:val="List"/>
    <w:basedOn w:val="Corpotesto"/>
    <w:pPr>
      <w:spacing/>
    </w:pPr>
    <w:rPr/>
  </w:style>
  <w:style w:type="paragraph" w:styleId="Didascalia1" w:customStyle="1">
    <w:name w:val="Didascalia1"/>
    <w:basedOn w:val="Normale"/>
    <w:pPr>
      <w:suppressLineNumbers w:val="1"/>
      <w:spacing w:after="120" w:before="120"/>
    </w:pPr>
    <w:rPr>
      <w:i w:val="1"/>
      <w:iCs w:val="1"/>
    </w:rPr>
  </w:style>
  <w:style w:type="paragraph" w:styleId="Indice" w:customStyle="1">
    <w:name w:val="Indice"/>
    <w:basedOn w:val="Normale"/>
    <w:pPr>
      <w:suppressLineNumbers w:val="1"/>
      <w:spacing/>
    </w:pPr>
    <w:rPr/>
  </w:style>
  <w:style w:type="paragraph" w:styleId="sche3" w:customStyle="1">
    <w:name w:val="sche_3"/>
    <w:pPr>
      <w:widowControl w:val="0"/>
      <w:suppressAutoHyphens w:val="1"/>
      <w:overflowPunct w:val="0"/>
      <w:autoSpaceDE w:val="0"/>
      <w:spacing/>
      <w:jc w:val="both"/>
      <w:textAlignment w:val="baseline"/>
    </w:pPr>
    <w:rPr>
      <w:lang w:eastAsia="ar-SA" w:val="en-US"/>
    </w:rPr>
  </w:style>
  <w:style w:type="paragraph" w:styleId="sche22" w:customStyle="1">
    <w:name w:val="sche2_2"/>
    <w:pPr>
      <w:widowControl w:val="0"/>
      <w:suppressAutoHyphens w:val="1"/>
      <w:overflowPunct w:val="0"/>
      <w:autoSpaceDE w:val="0"/>
      <w:spacing/>
      <w:jc w:val="right"/>
      <w:textAlignment w:val="baseline"/>
    </w:pPr>
    <w:rPr>
      <w:lang w:eastAsia="ar-SA" w:val="en-US"/>
    </w:rPr>
  </w:style>
  <w:style w:type="paragraph" w:styleId="sche23" w:customStyle="1">
    <w:name w:val="sche2_3"/>
    <w:pPr>
      <w:widowControl w:val="0"/>
      <w:suppressAutoHyphens w:val="1"/>
      <w:overflowPunct w:val="0"/>
      <w:autoSpaceDE w:val="0"/>
      <w:spacing/>
      <w:jc w:val="right"/>
      <w:textAlignment w:val="baseline"/>
    </w:pPr>
    <w:rPr>
      <w:lang w:eastAsia="ar-SA" w:val="en-US"/>
    </w:rPr>
  </w:style>
  <w:style w:type="paragraph" w:styleId="Testonotaapidipagina">
    <w:name w:val="Footnote Text"/>
    <w:basedOn w:val="Normale"/>
    <w:link w:val="TestonotaapièdipaginaCarattere"/>
    <w:uiPriority w:val="99"/>
    <w:pPr>
      <w:widowControl w:val="0"/>
      <w:overflowPunct w:val="0"/>
      <w:autoSpaceDE w:val="0"/>
      <w:spacing/>
      <w:textAlignment w:val="baseline"/>
    </w:pPr>
    <w:rPr>
      <w:sz w:val="20"/>
      <w:szCs w:val="20"/>
    </w:rPr>
  </w:style>
  <w:style w:type="paragraph" w:styleId="Corpodeltesto21" w:customStyle="1">
    <w:name w:val="Corpo del testo 21"/>
    <w:basedOn w:val="Normale"/>
    <w:pPr>
      <w:overflowPunct w:val="0"/>
      <w:autoSpaceDE w:val="0"/>
      <w:spacing w:line="360" w:lineRule="auto"/>
      <w:ind w:left="425"/>
      <w:jc w:val="both"/>
      <w:textAlignment w:val="baseline"/>
    </w:pPr>
    <w:rPr>
      <w:rFonts w:ascii="Arial" w:cs="Arial" w:hAnsi="Arial"/>
      <w:sz w:val="20"/>
      <w:szCs w:val="20"/>
    </w:rPr>
  </w:style>
  <w:style w:type="paragraph" w:styleId="sche4" w:customStyle="1">
    <w:name w:val="sche_4"/>
    <w:pPr>
      <w:widowControl w:val="0"/>
      <w:suppressAutoHyphens w:val="1"/>
      <w:spacing/>
      <w:jc w:val="both"/>
    </w:pPr>
    <w:rPr>
      <w:lang w:eastAsia="ar-SA" w:val="en-US"/>
    </w:rPr>
  </w:style>
  <w:style w:type="paragraph" w:styleId="Rientrocorpodeltesto">
    <w:name w:val="Body Text Indent"/>
    <w:basedOn w:val="Normale"/>
    <w:pPr>
      <w:tabs>
        <w:tab w:val="left" w:pos="0"/>
        <w:tab w:val="left" w:pos="8496"/>
      </w:tabs>
      <w:spacing w:line="360" w:lineRule="auto"/>
      <w:ind w:left="1068"/>
      <w:jc w:val="both"/>
    </w:pPr>
    <w:rPr>
      <w:spacing w:val="-2"/>
    </w:rPr>
  </w:style>
  <w:style w:type="paragraph" w:styleId="Pidipagina">
    <w:name w:val="Footer"/>
    <w:basedOn w:val="Normale"/>
    <w:pPr>
      <w:tabs>
        <w:tab w:val="center" w:pos="4819"/>
        <w:tab w:val="right" w:pos="9638"/>
      </w:tabs>
      <w:spacing/>
    </w:pPr>
    <w:rPr/>
  </w:style>
  <w:style w:type="paragraph" w:styleId="Intestazione">
    <w:name w:val="Header"/>
    <w:basedOn w:val="Normale"/>
    <w:link w:val="IntestazioneCarattere"/>
    <w:uiPriority w:val="99"/>
    <w:pPr>
      <w:tabs>
        <w:tab w:val="center" w:pos="4819"/>
        <w:tab w:val="right" w:pos="9638"/>
      </w:tabs>
      <w:spacing/>
    </w:pPr>
    <w:rPr/>
  </w:style>
  <w:style w:type="paragraph" w:styleId="Corpodeltesto21_0" w:customStyle="1">
    <w:name w:val="Corpo del testo 21_0"/>
    <w:basedOn w:val="Normale"/>
    <w:pPr>
      <w:spacing/>
      <w:jc w:val="both"/>
    </w:pPr>
    <w:rPr>
      <w:i w:val="1"/>
      <w:szCs w:val="20"/>
    </w:rPr>
  </w:style>
  <w:style w:type="paragraph" w:styleId="Rientrocorpodeltesto22" w:customStyle="1">
    <w:name w:val="Rientro corpo del testo 22"/>
    <w:basedOn w:val="Normale"/>
    <w:pPr>
      <w:spacing w:after="120" w:line="480" w:lineRule="auto"/>
      <w:ind w:left="283"/>
    </w:pPr>
    <w:rPr/>
  </w:style>
  <w:style w:type="paragraph" w:styleId="Paragrafoelenco">
    <w:name w:val="List Paragraph"/>
    <w:basedOn w:val="Normale"/>
    <w:uiPriority w:val="34"/>
    <w:qFormat w:val="1"/>
    <w:pPr>
      <w:spacing w:after="200" w:line="276" w:lineRule="auto"/>
      <w:ind w:left="720"/>
    </w:pPr>
    <w:rPr>
      <w:rFonts w:ascii="Calibri" w:cs="Calibri" w:eastAsia="Calibri" w:hAnsi="Calibri"/>
      <w:sz w:val="22"/>
      <w:szCs w:val="22"/>
    </w:rPr>
  </w:style>
  <w:style w:type="paragraph" w:styleId="Testofumetto">
    <w:name w:val="Balloon Text"/>
    <w:basedOn w:val="Normale"/>
    <w:pPr>
      <w:spacing/>
    </w:pPr>
    <w:rPr>
      <w:rFonts w:ascii="Tahoma" w:cs="Tahoma" w:hAnsi="Tahoma"/>
      <w:sz w:val="16"/>
      <w:szCs w:val="16"/>
    </w:rPr>
  </w:style>
  <w:style w:type="paragraph" w:styleId="art-testo" w:customStyle="1">
    <w:name w:val="art-testo"/>
    <w:basedOn w:val="Normale"/>
    <w:pPr>
      <w:snapToGrid w:val="0"/>
      <w:spacing/>
      <w:jc w:val="both"/>
    </w:pPr>
    <w:rPr>
      <w:szCs w:val="20"/>
    </w:rPr>
  </w:style>
  <w:style w:type="paragraph" w:styleId="legale" w:customStyle="1">
    <w:name w:val="legale"/>
    <w:basedOn w:val="Normale"/>
    <w:pPr>
      <w:spacing w:line="481" w:lineRule="exact"/>
      <w:jc w:val="both"/>
    </w:pPr>
    <w:rPr>
      <w:rFonts w:ascii="Bookman" w:cs="Bookman" w:hAnsi="Bookman"/>
      <w:sz w:val="20"/>
      <w:szCs w:val="20"/>
    </w:rPr>
  </w:style>
  <w:style w:type="paragraph" w:styleId="Rientrocorpodeltesto21" w:customStyle="1">
    <w:name w:val="Rientro corpo del testo 21"/>
    <w:basedOn w:val="Normale"/>
    <w:pPr>
      <w:widowControl w:val="0"/>
      <w:spacing/>
      <w:ind w:left="720" w:hanging="360"/>
      <w:jc w:val="both"/>
    </w:pPr>
    <w:rPr>
      <w:rFonts w:eastAsia="Arial Unicode MS"/>
      <w:b w:val="1"/>
      <w:kern w:val="1"/>
    </w:rPr>
  </w:style>
  <w:style w:type="paragraph" w:styleId="Contenutocornice" w:customStyle="1">
    <w:name w:val="Contenuto cornice"/>
    <w:basedOn w:val="Corpotesto"/>
    <w:pPr>
      <w:spacing/>
    </w:pPr>
    <w:rPr/>
  </w:style>
  <w:style w:type="paragraph" w:styleId="WW-Rigadintestazione" w:customStyle="1">
    <w:name w:val="WW-Riga d'intestazione"/>
    <w:pPr>
      <w:shd w:color="auto" w:fill="ffffff" w:val="clear"/>
      <w:suppressAutoHyphens w:val="1"/>
      <w:spacing w:after="200" w:line="276" w:lineRule="auto"/>
    </w:pPr>
    <w:rPr>
      <w:rFonts w:ascii="Arial" w:cs="Arial Unicode MS" w:eastAsia="Arial Unicode MS" w:hAnsi="Arial"/>
      <w:color w:val="00000a"/>
      <w:kern w:val="1"/>
      <w:sz w:val="22"/>
      <w:szCs w:val="22"/>
      <w:lang w:bidi="hi-IN" w:eastAsia="hi-IN"/>
    </w:rPr>
  </w:style>
  <w:style w:type="character" w:styleId="Rimandonotaapidipagina">
    <w:name w:val="Footnote Reference"/>
    <w:basedOn w:val="Carpredefinitoparagrafo"/>
    <w:uiPriority w:val="99"/>
    <w:semiHidden w:val="1"/>
    <w:unhideWhenUsed w:val="1"/>
    <w:rPr>
      <w:vertAlign w:val="superscript"/>
    </w:rPr>
  </w:style>
  <w:style w:type="character" w:styleId="TestonotaapidipaginaCarattere" w:customStyle="1">
    <w:name w:val="Testo nota a piè di pagina Carattere"/>
    <w:basedOn w:val="Carpredefinitoparagrafo"/>
    <w:link w:val="FootnoteText"/>
    <w:uiPriority w:val="99"/>
    <w:rPr>
      <w:lang w:eastAsia="ar-SA"/>
    </w:rPr>
  </w:style>
  <w:style w:type="paragraph" w:styleId="has-text-align-center" w:customStyle="1">
    <w:name w:val="has-text-align-center"/>
    <w:basedOn w:val="Normale"/>
    <w:pPr>
      <w:suppressAutoHyphens w:val="0"/>
      <w:spacing w:after="100" w:afterAutospacing="1" w:before="100" w:beforeAutospacing="1"/>
    </w:pPr>
    <w:rPr>
      <w:lang w:eastAsia="it-IT"/>
    </w:rPr>
  </w:style>
  <w:style w:type="paragraph" w:styleId="NormaleWeb">
    <w:name w:val="Normal (Web)"/>
    <w:basedOn w:val="Normale"/>
    <w:uiPriority w:val="99"/>
    <w:unhideWhenUsed w:val="1"/>
    <w:pPr>
      <w:suppressAutoHyphens w:val="0"/>
      <w:spacing w:after="100" w:afterAutospacing="1" w:before="100" w:beforeAutospacing="1"/>
    </w:pPr>
    <w:rPr>
      <w:lang w:eastAsia="it-IT"/>
    </w:rPr>
  </w:style>
  <w:style w:type="character" w:styleId="IntestazioneCarattere" w:customStyle="1">
    <w:name w:val="Intestazione Carattere"/>
    <w:basedOn w:val="Carpredefinitoparagrafo"/>
    <w:link w:val="Header"/>
    <w:uiPriority w:val="99"/>
    <w:rPr>
      <w:sz w:val="24"/>
      <w:szCs w:val="24"/>
      <w:lang w:eastAsia="ar-S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luigifadda.it/affidamenti-sottosogl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DheI1bIZjNAASCo0/Fkiznp1Hw==">CgMxLjAaMAoBMBIrCikIB0IlChFRdWF0dHJvY2VudG8gU2FucxIQQXJpYWwgVW5pY29kZSBNUxowCgExEisKKQgHQiUKEVF1YXR0cm9jZW50byBTYW5zEhBBcmlhbCBVbmljb2RlIE1TMghoLmdqZGd4czIJaC4zMGowemxsOAByITE0TWw3Rjh5b3pBRjBqTFZIUk05Rm1zSGdocW0zMFd1Xw==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2023-10-12T12:56:00Z</dcterms:created>
</cp:coreProperties>
</file>