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DICHIARAZIONE DNSH – SCHEDA</w:t>
      </w:r>
    </w:p>
    <w:p w:rsidR="00000000" w:rsidDel="00000000" w:rsidP="00000000" w:rsidRDefault="00000000" w:rsidRPr="00000000" w14:paraId="00000002">
      <w:pPr>
        <w:spacing w:after="0" w:line="240" w:lineRule="auto"/>
        <w:jc w:val="cente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03">
      <w:pPr>
        <w:spacing w:after="0" w:line="240" w:lineRule="auto"/>
        <w:jc w:val="cente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04">
      <w:pPr>
        <w:tabs>
          <w:tab w:val="center" w:leader="none" w:pos="4962"/>
        </w:tabs>
        <w:spacing w:after="120" w:line="240"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AFFIDAMENTO DELLA FORNITURA DI POLVERI PER TERMOSPRUZZATURA NELL’AMBITO DEL PIANO NAZIONALE RIPRESA E RESILIENZA (PNRR) MISSIONE 4 COMPONENTE 2 INVESTIMENTO 1.1  - PROGETTO PRIN 2022 GENESIS “finanziato dall'Unione europea – Next Generation EU“ D.D. 966 del 30/6/2023- resp. G. Pulci (Codice UGOV: 000010_23_MAP_PULCI [Codice Progetto: 2022Y7K7FS]) CUP B53D23008970006 Gara XuP id. 777</w:t>
      </w:r>
      <w:r w:rsidDel="00000000" w:rsidR="00000000" w:rsidRPr="00000000">
        <w:rPr>
          <w:rtl w:val="0"/>
        </w:rPr>
      </w:r>
    </w:p>
    <w:p w:rsidR="00000000" w:rsidDel="00000000" w:rsidP="00000000" w:rsidRDefault="00000000" w:rsidRPr="00000000" w14:paraId="00000005">
      <w:pPr>
        <w:spacing w:line="254" w:lineRule="auto"/>
        <w:jc w:val="both"/>
        <w:rPr>
          <w:rFonts w:ascii="Arial" w:cs="Arial" w:eastAsia="Arial" w:hAnsi="Arial"/>
        </w:rPr>
      </w:pPr>
      <w:bookmarkStart w:colFirst="0" w:colLast="0" w:name="_heading=h.1fob9te" w:id="0"/>
      <w:bookmarkEnd w:id="0"/>
      <w:r w:rsidDel="00000000" w:rsidR="00000000" w:rsidRPr="00000000">
        <w:rPr>
          <w:rtl w:val="0"/>
        </w:rPr>
      </w:r>
    </w:p>
    <w:tbl>
      <w:tblPr>
        <w:tblStyle w:val="Table1"/>
        <w:tblW w:w="8756.0" w:type="dxa"/>
        <w:jc w:val="center"/>
        <w:tblLayout w:type="fixed"/>
        <w:tblLook w:val="0400"/>
      </w:tblPr>
      <w:tblGrid>
        <w:gridCol w:w="2470"/>
        <w:gridCol w:w="6286"/>
        <w:tblGridChange w:id="0">
          <w:tblGrid>
            <w:gridCol w:w="2470"/>
            <w:gridCol w:w="6286"/>
          </w:tblGrid>
        </w:tblGridChange>
      </w:tblGrid>
      <w:tr>
        <w:trPr>
          <w:cantSplit w:val="0"/>
          <w:trHeight w:val="31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6">
            <w:pPr>
              <w:spacing w:after="40" w:before="40" w:line="240" w:lineRule="auto"/>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Il sottoscritto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7">
            <w:pPr>
              <w:spacing w:after="0" w:line="240" w:lineRule="auto"/>
              <w:rPr>
                <w:rFonts w:ascii="Times New Roman" w:cs="Times New Roman" w:eastAsia="Times New Roman" w:hAnsi="Times New Roman"/>
                <w:sz w:val="24"/>
                <w:szCs w:val="24"/>
              </w:rPr>
            </w:pPr>
            <w:r w:rsidDel="00000000" w:rsidR="00000000" w:rsidRPr="00000000">
              <w:rPr>
                <w:rtl w:val="0"/>
              </w:rPr>
            </w:r>
          </w:p>
        </w:tc>
      </w:tr>
      <w:tr>
        <w:trPr>
          <w:cantSplit w:val="0"/>
          <w:trHeight w:val="31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8">
            <w:pPr>
              <w:spacing w:after="40" w:before="40" w:line="240" w:lineRule="auto"/>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Codice fiscale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9">
            <w:pPr>
              <w:spacing w:after="0" w:line="240" w:lineRule="auto"/>
              <w:rPr>
                <w:rFonts w:ascii="Times New Roman" w:cs="Times New Roman" w:eastAsia="Times New Roman" w:hAnsi="Times New Roman"/>
                <w:sz w:val="24"/>
                <w:szCs w:val="24"/>
              </w:rPr>
            </w:pPr>
            <w:r w:rsidDel="00000000" w:rsidR="00000000" w:rsidRPr="00000000">
              <w:rPr>
                <w:rtl w:val="0"/>
              </w:rPr>
            </w:r>
          </w:p>
        </w:tc>
      </w:tr>
      <w:tr>
        <w:trPr>
          <w:cantSplit w:val="0"/>
          <w:trHeight w:val="313" w:hRule="atLeast"/>
          <w:tblHeader w:val="0"/>
        </w:trPr>
        <w:tc>
          <w:tcPr>
            <w:gridSpan w:val="2"/>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A">
            <w:pPr>
              <w:spacing w:after="40" w:before="40" w:line="240" w:lineRule="auto"/>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Nella sua qualità di:</w:t>
            </w:r>
            <w:r w:rsidDel="00000000" w:rsidR="00000000" w:rsidRPr="00000000">
              <w:rPr>
                <w:rtl w:val="0"/>
              </w:rPr>
            </w:r>
          </w:p>
        </w:tc>
      </w:tr>
      <w:tr>
        <w:trPr>
          <w:cantSplit w:val="0"/>
          <w:trHeight w:val="31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C">
            <w:pPr>
              <w:spacing w:after="0" w:line="24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0D">
            <w:pPr>
              <w:spacing w:after="40" w:before="40" w:line="240" w:lineRule="auto"/>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Titolare o Legale rappresentante</w:t>
            </w:r>
            <w:r w:rsidDel="00000000" w:rsidR="00000000" w:rsidRPr="00000000">
              <w:rPr>
                <w:rtl w:val="0"/>
              </w:rPr>
            </w:r>
          </w:p>
        </w:tc>
      </w:tr>
      <w:tr>
        <w:trPr>
          <w:cantSplit w:val="0"/>
          <w:trHeight w:val="31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E">
            <w:pPr>
              <w:spacing w:after="0" w:line="240" w:lineRule="auto"/>
              <w:jc w:val="center"/>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0F">
            <w:pPr>
              <w:spacing w:after="40" w:before="40" w:line="240" w:lineRule="auto"/>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Procuratore</w:t>
            </w:r>
            <w:r w:rsidDel="00000000" w:rsidR="00000000" w:rsidRPr="00000000">
              <w:rPr>
                <w:rtl w:val="0"/>
              </w:rPr>
            </w:r>
          </w:p>
        </w:tc>
      </w:tr>
      <w:tr>
        <w:trPr>
          <w:cantSplit w:val="0"/>
          <w:trHeight w:val="31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0">
            <w:pPr>
              <w:spacing w:after="40" w:before="40" w:line="240" w:lineRule="auto"/>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Dell’operatore economico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1">
            <w:pPr>
              <w:spacing w:after="0" w:line="240" w:lineRule="auto"/>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12">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ai sensi e per gli effetti dell’art. 76 del D.P.R. n. 445/2000 consapevole della responsabilità e delle conseguenze civili e penali previste in caso di dichiarazioni mendaci e/o formazione od uso di atti falsi, nonché in caso di esibizione di atti contenenti dati non più corrispondenti a verità e consapevole, altresì, che qualora emerga la non veridicità del contenuto della presente dichiarazione il concorrente decadrà dai benefici per i quali la stessa è rilasciata</w:t>
      </w:r>
    </w:p>
    <w:p w:rsidR="00000000" w:rsidDel="00000000" w:rsidP="00000000" w:rsidRDefault="00000000" w:rsidRPr="00000000" w14:paraId="0000001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7">
      <w:pPr>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DICHIARA</w:t>
      </w:r>
    </w:p>
    <w:p w:rsidR="00000000" w:rsidDel="00000000" w:rsidP="00000000" w:rsidRDefault="00000000" w:rsidRPr="00000000" w14:paraId="00000018">
      <w:pPr>
        <w:spacing w:after="0" w:line="240" w:lineRule="auto"/>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19">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che la fornitura è coerente con i principi e gli obblighi specifici del Piano Nazionale di Ripresa e Resilienza relativamente al Principio del “ Do No Significant Harm” (DNSH) di cui all’articolo 17 del Regolamento UE 2020/852.</w:t>
      </w:r>
    </w:p>
    <w:p w:rsidR="00000000" w:rsidDel="00000000" w:rsidP="00000000" w:rsidRDefault="00000000" w:rsidRPr="00000000" w14:paraId="0000001A">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Inoltre, secondo quanto previsto dall’allegato alla Circolare MEF-RGS  n. 22 del 14 maggio 2024 – Linee Guida per lo svolgimento delle attività di controllo e rendicontazione delle Misure PNRR di competenza delle Amministrazioni centrali e dei Soggetti attuatori”, </w:t>
      </w:r>
      <w:r w:rsidDel="00000000" w:rsidR="00000000" w:rsidRPr="00000000">
        <w:rPr>
          <w:rFonts w:ascii="Arial" w:cs="Arial" w:eastAsia="Arial" w:hAnsi="Arial"/>
          <w:b w:val="1"/>
          <w:sz w:val="24"/>
          <w:szCs w:val="24"/>
          <w:rtl w:val="0"/>
        </w:rPr>
        <w:t xml:space="preserve">il/la sottoscritto/a ATTESTA che le attività previste NON rientrano nelle categorie di attività escluse presenti nel seguente elenco</w:t>
      </w:r>
      <w:r w:rsidDel="00000000" w:rsidR="00000000" w:rsidRPr="00000000">
        <w:rPr>
          <w:rFonts w:ascii="Arial" w:cs="Arial" w:eastAsia="Arial" w:hAnsi="Arial"/>
          <w:sz w:val="24"/>
          <w:szCs w:val="24"/>
          <w:rtl w:val="0"/>
        </w:rPr>
        <w:t xml:space="preserve">, ove il Council Implementing Decision (CID)1 e dall’Operational Arrangements (OA)2 ne richiedano espressa menzione nell’Avviso/Bando o altra documentazione di gara:</w:t>
      </w:r>
    </w:p>
    <w:p w:rsidR="00000000" w:rsidDel="00000000" w:rsidP="00000000" w:rsidRDefault="00000000" w:rsidRPr="00000000" w14:paraId="0000001B">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C">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Attività connesse ai combustibili fossili, compreso l’uso a valle (ad eccezione dei progetti previsti nell’ambito della presente misura riguardanti la produzione di energia elettrica e/o di calore a partire dal gas naturale, come pure le relative infrastrutture di trasmissione/trasporto e distribuzione che utilizzano gas naturale, che sono conformi alle condizioni di cui all’Allegato III degli orientamenti tecnici sull’applicazione del principio “non arrecare danno significativo” (2021/C58/01); </w:t>
      </w:r>
    </w:p>
    <w:p w:rsidR="00000000" w:rsidDel="00000000" w:rsidP="00000000" w:rsidRDefault="00000000" w:rsidRPr="00000000" w14:paraId="0000001D">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Attività nell’ambito del sistema di scambio di quote di emissione dell’UE (ETS) che conseguono proiezioni delle emissioni di gas a effetto serra che non sono inferiori ai pertinenti parametri di riferimento (se l’attività che beneficia del sostegno genera emissioni di gas a effetto serra previste che non sono significativamente inferiori ai pertinenti parametri di riferimento, occorre spiegarne il motivo. I parametri di riferimento per l’assegnazione gratuita di quote per le attività che rientrano nell’ambito di applicazione del sistema di scambio di quote di emissioni sono stabiliti nel Regolamento di esecuzione (UE) 2021/447 della Commissione; </w:t>
      </w:r>
    </w:p>
    <w:p w:rsidR="00000000" w:rsidDel="00000000" w:rsidP="00000000" w:rsidRDefault="00000000" w:rsidRPr="00000000" w14:paraId="0000001E">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Attività connesse alle discariche di rifiuti, inceneritori (l’esclusione non si applica alle azioni previste nell’ambito dalla presente misura in impianti esclusivamente adibiti al trattamento di rifiuti pericolosi non riciclabili, né agli impianti esistenti quando tali azioni sono intese ad aumentare l’efficienza energetica, catturare i gas di scarico per lo stoccaggio o l’utilizzo o recuperare i materiali da residui di combustione, purché tali azioni nell’ambito della presente misura non determinino un aumento della capacità di trattamento dei rifiuti dell’impianto o un’estensione della sua durata di vita; sono fornite prove a livello di impianto) e agli impianti di trattamento meccanico biologico (l’esclusione non si applica alle azioni previste dalla presente misura negli impianti di trattamento biologico esistenti quando tali azioni sono intese ad aumentare l’efficienza energetica o migliorare le operazioni di riciclaggio dei rifiuti differenziati al fine di convertirle nel compostaggio e nella digestione anaerobica di rifiuti organici, purché tali azioni nell’ambito della presente misura non determinino un aumento della capacità di trattamento dei rifiuti dell’impianto o un’estensione della sua durata di vita; sono fornite prove a livello di impianto); </w:t>
      </w:r>
    </w:p>
    <w:p w:rsidR="00000000" w:rsidDel="00000000" w:rsidP="00000000" w:rsidRDefault="00000000" w:rsidRPr="00000000" w14:paraId="0000001F">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Attività in cui lo smaltimento a lungo termine dei rifiuti può causare danni all’ambiente</w:t>
      </w:r>
    </w:p>
    <w:p w:rsidR="00000000" w:rsidDel="00000000" w:rsidP="00000000" w:rsidRDefault="00000000" w:rsidRPr="00000000" w14:paraId="00000020">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1">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22">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23">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24">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25">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26">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27">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28">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29">
      <w:pP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rtl w:val="0"/>
        </w:rPr>
        <w:t xml:space="preserve">Data</w:t>
      </w:r>
      <w:r w:rsidDel="00000000" w:rsidR="00000000" w:rsidRPr="00000000">
        <w:rPr>
          <w:rtl w:val="0"/>
        </w:rPr>
      </w:r>
    </w:p>
    <w:p w:rsidR="00000000" w:rsidDel="00000000" w:rsidP="00000000" w:rsidRDefault="00000000" w:rsidRPr="00000000" w14:paraId="0000002A">
      <w:pPr>
        <w:widowControl w:val="0"/>
        <w:spacing w:line="196" w:lineRule="auto"/>
        <w:ind w:right="1164"/>
        <w:jc w:val="center"/>
        <w:rPr>
          <w:b w:val="1"/>
        </w:rPr>
      </w:pPr>
      <w:bookmarkStart w:colFirst="0" w:colLast="0" w:name="_heading=h.gjdgxs" w:id="1"/>
      <w:bookmarkEnd w:id="1"/>
      <w:r w:rsidDel="00000000" w:rsidR="00000000" w:rsidRPr="00000000">
        <w:rPr>
          <w:b w:val="1"/>
          <w:rtl w:val="0"/>
        </w:rPr>
        <w:t xml:space="preserve">                                                         L’Operatore Economico</w:t>
      </w:r>
    </w:p>
    <w:p w:rsidR="00000000" w:rsidDel="00000000" w:rsidP="00000000" w:rsidRDefault="00000000" w:rsidRPr="00000000" w14:paraId="0000002B">
      <w:pPr>
        <w:widowControl w:val="0"/>
        <w:spacing w:line="196" w:lineRule="auto"/>
        <w:ind w:right="1164"/>
        <w:jc w:val="right"/>
        <w:rPr>
          <w:b w:val="1"/>
        </w:rPr>
      </w:pPr>
      <w:r w:rsidDel="00000000" w:rsidR="00000000" w:rsidRPr="00000000">
        <w:rPr>
          <w:rFonts w:ascii="Arial" w:cs="Arial" w:eastAsia="Arial" w:hAnsi="Arial"/>
          <w:rtl w:val="0"/>
        </w:rPr>
        <w:t xml:space="preserve">Firma digitale</w:t>
      </w:r>
      <w:r w:rsidDel="00000000" w:rsidR="00000000" w:rsidRPr="00000000">
        <w:rPr>
          <w:rFonts w:ascii="Arial" w:cs="Arial" w:eastAsia="Arial" w:hAnsi="Arial"/>
          <w:vertAlign w:val="superscript"/>
        </w:rPr>
        <w:footnoteReference w:customMarkFollows="0" w:id="0"/>
      </w:r>
      <w:r w:rsidDel="00000000" w:rsidR="00000000" w:rsidRPr="00000000">
        <w:rPr>
          <w:rFonts w:ascii="Arial" w:cs="Arial" w:eastAsia="Arial" w:hAnsi="Arial"/>
          <w:rtl w:val="0"/>
        </w:rPr>
        <w:t xml:space="preserve"> del legale rappresentante/procuratore</w:t>
      </w:r>
      <w:r w:rsidDel="00000000" w:rsidR="00000000" w:rsidRPr="00000000">
        <w:rPr>
          <w:rFonts w:ascii="Arial" w:cs="Arial" w:eastAsia="Arial" w:hAnsi="Arial"/>
          <w:vertAlign w:val="superscript"/>
        </w:rPr>
        <w:footnoteReference w:customMarkFollows="0" w:id="1"/>
      </w:r>
      <w:r w:rsidDel="00000000" w:rsidR="00000000" w:rsidRPr="00000000">
        <w:rPr>
          <w:rtl w:val="0"/>
        </w:rPr>
      </w:r>
    </w:p>
    <w:sectPr>
      <w:headerReference r:id="rId8" w:type="default"/>
      <w:pgSz w:h="16838" w:w="11906" w:orient="portrait"/>
      <w:pgMar w:bottom="1134" w:top="1417" w:left="1134" w:right="1134"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2C">
      <w:pPr>
        <w:widowControl w:val="0"/>
        <w:spacing w:line="240" w:lineRule="auto"/>
        <w:jc w:val="both"/>
        <w:rPr>
          <w:rFonts w:ascii="Arial" w:cs="Arial" w:eastAsia="Arial" w:hAnsi="Arial"/>
          <w:sz w:val="14"/>
          <w:szCs w:val="14"/>
        </w:rPr>
      </w:pPr>
      <w:r w:rsidDel="00000000" w:rsidR="00000000" w:rsidRPr="00000000">
        <w:rPr>
          <w:rStyle w:val="FootnoteReference"/>
          <w:vertAlign w:val="superscript"/>
        </w:rPr>
        <w:footnoteRef/>
      </w:r>
      <w:r w:rsidDel="00000000" w:rsidR="00000000" w:rsidRPr="00000000">
        <w:rPr>
          <w:rFonts w:ascii="Arial" w:cs="Arial" w:eastAsia="Arial" w:hAnsi="Arial"/>
          <w:sz w:val="14"/>
          <w:szCs w:val="14"/>
          <w:rtl w:val="0"/>
        </w:rPr>
        <w:t xml:space="preserve"> Per gli operatori economici italiani o stranieri residenti in Italia, la dichiarazione deve essere sottoscritta da un legale rappresentante ovvero da un procuratore del legale rappresentante, apponendo la firma digitale. Per gli operatori economici stranieri non residenti in Italia, la dichiarazione può essere sottoscritta dai medesimi soggetti apponendo la firma autografa ed allegando copia di un documento di identità del firmatario in corso di validità.</w:t>
      </w:r>
    </w:p>
  </w:footnote>
  <w:footnote w:id="1">
    <w:p w:rsidR="00000000" w:rsidDel="00000000" w:rsidP="00000000" w:rsidRDefault="00000000" w:rsidRPr="00000000" w14:paraId="0000002D">
      <w:pPr>
        <w:widowControl w:val="0"/>
        <w:spacing w:line="240" w:lineRule="auto"/>
        <w:jc w:val="both"/>
        <w:rPr>
          <w:rFonts w:ascii="Arial" w:cs="Arial" w:eastAsia="Arial" w:hAnsi="Arial"/>
        </w:rPr>
      </w:pPr>
      <w:r w:rsidDel="00000000" w:rsidR="00000000" w:rsidRPr="00000000">
        <w:rPr>
          <w:rStyle w:val="FootnoteReference"/>
          <w:vertAlign w:val="superscript"/>
        </w:rPr>
        <w:footnoteRef/>
      </w:r>
      <w:r w:rsidDel="00000000" w:rsidR="00000000" w:rsidRPr="00000000">
        <w:rPr>
          <w:rFonts w:ascii="Arial" w:cs="Arial" w:eastAsia="Arial" w:hAnsi="Arial"/>
          <w:sz w:val="14"/>
          <w:szCs w:val="14"/>
          <w:rtl w:val="0"/>
        </w:rPr>
        <w:t xml:space="preserve"> Nel caso in cui la dichiarazione sia firmata da un procuratore del legale rappresentante deve essere allegata copia conforme all’originale della procura oppure nel solo caso in cui dalla visura camerale dell’operatore economico risulti l’indicazione espressa dei poteri rappresentativi conferiti con la procura, la dichiarazione sostitutiva resa dal procuratore/legale rappresentante sottoscrittore attestante la</w:t>
      </w:r>
      <w:r w:rsidDel="00000000" w:rsidR="00000000" w:rsidRPr="00000000">
        <w:rPr>
          <w:rFonts w:ascii="Arial" w:cs="Arial" w:eastAsia="Arial" w:hAnsi="Arial"/>
          <w:sz w:val="16"/>
          <w:szCs w:val="16"/>
          <w:rtl w:val="0"/>
        </w:rPr>
        <w:t xml:space="preserve"> </w:t>
      </w:r>
      <w:r w:rsidDel="00000000" w:rsidR="00000000" w:rsidRPr="00000000">
        <w:rPr>
          <w:rFonts w:ascii="Arial" w:cs="Arial" w:eastAsia="Arial" w:hAnsi="Arial"/>
          <w:sz w:val="12"/>
          <w:szCs w:val="12"/>
          <w:rtl w:val="0"/>
        </w:rPr>
        <w:t xml:space="preserve">sussistenza dei poteri rappresentativi risultanti dalla visura.</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center" w:leader="none" w:pos="4819"/>
        <w:tab w:val="right" w:leader="none" w:pos="9638"/>
      </w:tabs>
      <w:spacing w:after="0" w:line="240" w:lineRule="auto"/>
      <w:jc w:val="center"/>
      <w:rPr>
        <w:color w:val="000000"/>
      </w:rPr>
    </w:pPr>
    <w:r w:rsidDel="00000000" w:rsidR="00000000" w:rsidRPr="00000000">
      <w:rPr>
        <w:b w:val="1"/>
        <w:color w:val="000000"/>
        <w:sz w:val="20"/>
        <w:szCs w:val="20"/>
      </w:rPr>
      <w:drawing>
        <wp:inline distB="0" distT="0" distL="0" distR="0">
          <wp:extent cx="6030920" cy="596900"/>
          <wp:effectExtent b="0" l="0" r="0" t="0"/>
          <wp:docPr id="2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030920" cy="5969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IT"/>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e" w:default="1">
    <w:name w:val="Normal"/>
    <w:qFormat w:val="1"/>
  </w:style>
  <w:style w:type="paragraph" w:styleId="Titolo1">
    <w:name w:val="heading 1"/>
    <w:basedOn w:val="Normale"/>
    <w:next w:val="Normale"/>
    <w:uiPriority w:val="9"/>
    <w:qFormat w:val="1"/>
    <w:pPr>
      <w:keepNext w:val="1"/>
      <w:keepLines w:val="1"/>
      <w:spacing w:after="120" w:before="480"/>
      <w:outlineLvl w:val="0"/>
    </w:pPr>
    <w:rPr>
      <w:b w:val="1"/>
      <w:sz w:val="48"/>
      <w:szCs w:val="48"/>
    </w:rPr>
  </w:style>
  <w:style w:type="paragraph" w:styleId="Titolo2">
    <w:name w:val="heading 2"/>
    <w:basedOn w:val="Normale"/>
    <w:next w:val="Normale"/>
    <w:uiPriority w:val="9"/>
    <w:semiHidden w:val="1"/>
    <w:unhideWhenUsed w:val="1"/>
    <w:qFormat w:val="1"/>
    <w:pPr>
      <w:keepNext w:val="1"/>
      <w:keepLines w:val="1"/>
      <w:spacing w:after="80" w:before="360"/>
      <w:outlineLvl w:val="1"/>
    </w:pPr>
    <w:rPr>
      <w:b w:val="1"/>
      <w:sz w:val="36"/>
      <w:szCs w:val="36"/>
    </w:rPr>
  </w:style>
  <w:style w:type="paragraph" w:styleId="Titolo3">
    <w:name w:val="heading 3"/>
    <w:basedOn w:val="Normale"/>
    <w:next w:val="Normale"/>
    <w:uiPriority w:val="9"/>
    <w:semiHidden w:val="1"/>
    <w:unhideWhenUsed w:val="1"/>
    <w:qFormat w:val="1"/>
    <w:pPr>
      <w:keepNext w:val="1"/>
      <w:keepLines w:val="1"/>
      <w:spacing w:after="80" w:before="280"/>
      <w:outlineLvl w:val="2"/>
    </w:pPr>
    <w:rPr>
      <w:b w:val="1"/>
      <w:sz w:val="28"/>
      <w:szCs w:val="28"/>
    </w:rPr>
  </w:style>
  <w:style w:type="paragraph" w:styleId="Titolo4">
    <w:name w:val="heading 4"/>
    <w:basedOn w:val="Normale"/>
    <w:next w:val="Normale"/>
    <w:uiPriority w:val="9"/>
    <w:semiHidden w:val="1"/>
    <w:unhideWhenUsed w:val="1"/>
    <w:qFormat w:val="1"/>
    <w:pPr>
      <w:keepNext w:val="1"/>
      <w:keepLines w:val="1"/>
      <w:spacing w:after="40" w:before="240"/>
      <w:outlineLvl w:val="3"/>
    </w:pPr>
    <w:rPr>
      <w:b w:val="1"/>
      <w:sz w:val="24"/>
      <w:szCs w:val="24"/>
    </w:rPr>
  </w:style>
  <w:style w:type="paragraph" w:styleId="Titolo5">
    <w:name w:val="heading 5"/>
    <w:basedOn w:val="Normale"/>
    <w:next w:val="Normale"/>
    <w:uiPriority w:val="9"/>
    <w:semiHidden w:val="1"/>
    <w:unhideWhenUsed w:val="1"/>
    <w:qFormat w:val="1"/>
    <w:pPr>
      <w:keepNext w:val="1"/>
      <w:keepLines w:val="1"/>
      <w:spacing w:after="40" w:before="220"/>
      <w:outlineLvl w:val="4"/>
    </w:pPr>
    <w:rPr>
      <w:b w:val="1"/>
    </w:rPr>
  </w:style>
  <w:style w:type="paragraph" w:styleId="Titolo6">
    <w:name w:val="heading 6"/>
    <w:basedOn w:val="Normale"/>
    <w:next w:val="Normale"/>
    <w:uiPriority w:val="9"/>
    <w:semiHidden w:val="1"/>
    <w:unhideWhenUsed w:val="1"/>
    <w:qFormat w:val="1"/>
    <w:pPr>
      <w:keepNext w:val="1"/>
      <w:keepLines w:val="1"/>
      <w:spacing w:after="40" w:before="200"/>
      <w:outlineLvl w:val="5"/>
    </w:pPr>
    <w:rPr>
      <w:b w:val="1"/>
      <w:sz w:val="20"/>
      <w:szCs w:val="20"/>
    </w:rPr>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itolo">
    <w:name w:val="Title"/>
    <w:basedOn w:val="Normale"/>
    <w:next w:val="Normale"/>
    <w:uiPriority w:val="10"/>
    <w:qFormat w:val="1"/>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tblPr>
      <w:tblCellMar>
        <w:top w:w="0.0" w:type="dxa"/>
        <w:left w:w="0.0" w:type="dxa"/>
        <w:bottom w:w="0.0" w:type="dxa"/>
        <w:right w:w="0.0" w:type="dxa"/>
      </w:tblCellMar>
    </w:tblPr>
  </w:style>
  <w:style w:type="paragraph" w:styleId="Intestazione">
    <w:name w:val="header"/>
    <w:basedOn w:val="Normale"/>
    <w:link w:val="IntestazioneCarattere"/>
    <w:uiPriority w:val="99"/>
    <w:unhideWhenUsed w:val="1"/>
    <w:rsid w:val="00BC7FF7"/>
    <w:pPr>
      <w:tabs>
        <w:tab w:val="center" w:pos="4819"/>
        <w:tab w:val="right" w:pos="9638"/>
      </w:tabs>
      <w:spacing w:after="0" w:line="240" w:lineRule="auto"/>
    </w:pPr>
  </w:style>
  <w:style w:type="character" w:styleId="IntestazioneCarattere" w:customStyle="1">
    <w:name w:val="Intestazione Carattere"/>
    <w:basedOn w:val="Carpredefinitoparagrafo"/>
    <w:link w:val="Intestazione"/>
    <w:uiPriority w:val="99"/>
    <w:rsid w:val="00BC7FF7"/>
  </w:style>
  <w:style w:type="paragraph" w:styleId="Pidipagina">
    <w:name w:val="footer"/>
    <w:basedOn w:val="Normale"/>
    <w:link w:val="PidipaginaCarattere"/>
    <w:uiPriority w:val="99"/>
    <w:unhideWhenUsed w:val="1"/>
    <w:rsid w:val="00BC7FF7"/>
    <w:pPr>
      <w:tabs>
        <w:tab w:val="center" w:pos="4819"/>
        <w:tab w:val="right" w:pos="9638"/>
      </w:tabs>
      <w:spacing w:after="0" w:line="240" w:lineRule="auto"/>
    </w:pPr>
  </w:style>
  <w:style w:type="character" w:styleId="PidipaginaCarattere" w:customStyle="1">
    <w:name w:val="Piè di pagina Carattere"/>
    <w:basedOn w:val="Carpredefinitoparagrafo"/>
    <w:link w:val="Pidipagina"/>
    <w:uiPriority w:val="99"/>
    <w:rsid w:val="00BC7FF7"/>
  </w:style>
  <w:style w:type="paragraph" w:styleId="NormaleWeb">
    <w:name w:val="Normal (Web)"/>
    <w:basedOn w:val="Normale"/>
    <w:uiPriority w:val="99"/>
    <w:unhideWhenUsed w:val="1"/>
    <w:rsid w:val="00BC7FF7"/>
    <w:pPr>
      <w:spacing w:after="100" w:afterAutospacing="1" w:before="100" w:beforeAutospacing="1" w:line="240" w:lineRule="auto"/>
    </w:pPr>
    <w:rPr>
      <w:rFonts w:ascii="Times New Roman" w:cs="Times New Roman" w:eastAsia="Times New Roman" w:hAnsi="Times New Roman"/>
      <w:sz w:val="24"/>
      <w:szCs w:val="24"/>
    </w:rPr>
  </w:style>
  <w:style w:type="paragraph" w:styleId="Sottotitolo">
    <w:name w:val="Subtitle"/>
    <w:basedOn w:val="Normale"/>
    <w:next w:val="Normale"/>
    <w:uiPriority w:val="11"/>
    <w:qFormat w:val="1"/>
    <w:pPr>
      <w:keepNext w:val="1"/>
      <w:keepLines w:val="1"/>
      <w:pBdr>
        <w:top w:space="0" w:sz="0" w:val="nil"/>
        <w:left w:space="0" w:sz="0" w:val="nil"/>
        <w:bottom w:space="0" w:sz="0" w:val="nil"/>
        <w:right w:space="0" w:sz="0" w:val="nil"/>
        <w:between w:space="0" w:sz="0" w:val="nil"/>
      </w:pBdr>
      <w:spacing w:after="80" w:before="360"/>
    </w:pPr>
    <w:rPr>
      <w:rFonts w:ascii="Georgia" w:cs="Georgia" w:eastAsia="Georgia" w:hAnsi="Georgia"/>
      <w:i w:val="1"/>
      <w:color w:val="666666"/>
      <w:sz w:val="48"/>
      <w:szCs w:val="48"/>
    </w:rPr>
  </w:style>
  <w:style w:type="table" w:styleId="a" w:customStyle="1">
    <w:basedOn w:val="TableNormal2"/>
    <w:tblPr>
      <w:tblStyleRowBandSize w:val="1"/>
      <w:tblStyleColBandSize w:val="1"/>
      <w:tblCellMar>
        <w:top w:w="15.0" w:type="dxa"/>
        <w:left w:w="15.0" w:type="dxa"/>
        <w:bottom w:w="15.0" w:type="dxa"/>
        <w:right w:w="15.0" w:type="dxa"/>
      </w:tblCellMar>
    </w:tblPr>
  </w:style>
  <w:style w:type="table" w:styleId="a0" w:customStyle="1">
    <w:basedOn w:val="TableNormal2"/>
    <w:tblPr>
      <w:tblStyleRowBandSize w:val="1"/>
      <w:tblStyleColBandSize w:val="1"/>
      <w:tblCellMar>
        <w:top w:w="15.0" w:type="dxa"/>
        <w:left w:w="15.0" w:type="dxa"/>
        <w:bottom w:w="15.0" w:type="dxa"/>
        <w:right w:w="15.0" w:type="dxa"/>
      </w:tblCellMar>
    </w:tblPr>
  </w:style>
  <w:style w:type="table" w:styleId="a1" w:customStyle="1">
    <w:basedOn w:val="TableNormal2"/>
    <w:tblPr>
      <w:tblStyleRowBandSize w:val="1"/>
      <w:tblStyleColBandSize w:val="1"/>
      <w:tblCellMar>
        <w:top w:w="15.0" w:type="dxa"/>
        <w:left w:w="15.0" w:type="dxa"/>
        <w:bottom w:w="15.0" w:type="dxa"/>
        <w:right w:w="15.0" w:type="dxa"/>
      </w:tblCellMar>
    </w:tblPr>
  </w:style>
  <w:style w:type="table" w:styleId="a2" w:customStyle="1">
    <w:basedOn w:val="TableNormal2"/>
    <w:tblPr>
      <w:tblStyleRowBandSize w:val="1"/>
      <w:tblStyleColBandSize w:val="1"/>
      <w:tblCellMar>
        <w:top w:w="15.0" w:type="dxa"/>
        <w:left w:w="15.0" w:type="dxa"/>
        <w:bottom w:w="15.0" w:type="dxa"/>
        <w:right w:w="15.0" w:type="dxa"/>
      </w:tblCellMar>
    </w:tblPr>
  </w:style>
  <w:style w:type="table" w:styleId="a3" w:customStyle="1">
    <w:basedOn w:val="TableNormal2"/>
    <w:tblPr>
      <w:tblStyleRowBandSize w:val="1"/>
      <w:tblStyleColBandSize w:val="1"/>
      <w:tblCellMar>
        <w:top w:w="15.0" w:type="dxa"/>
        <w:left w:w="15.0" w:type="dxa"/>
        <w:bottom w:w="15.0" w:type="dxa"/>
        <w:right w:w="15.0" w:type="dxa"/>
      </w:tblCellMar>
    </w:tblPr>
  </w:style>
  <w:style w:type="table" w:styleId="a4" w:customStyle="1">
    <w:basedOn w:val="TableNormal2"/>
    <w:tblPr>
      <w:tblStyleRowBandSize w:val="1"/>
      <w:tblStyleColBandSize w:val="1"/>
      <w:tblCellMar>
        <w:top w:w="15.0" w:type="dxa"/>
        <w:left w:w="15.0" w:type="dxa"/>
        <w:bottom w:w="15.0" w:type="dxa"/>
        <w:right w:w="15.0" w:type="dxa"/>
      </w:tblCellMar>
    </w:tblPr>
  </w:style>
  <w:style w:type="table" w:styleId="a5" w:customStyle="1">
    <w:basedOn w:val="TableNormal2"/>
    <w:tblPr>
      <w:tblStyleRowBandSize w:val="1"/>
      <w:tblStyleColBandSize w:val="1"/>
      <w:tblCellMar>
        <w:top w:w="15.0" w:type="dxa"/>
        <w:left w:w="15.0" w:type="dxa"/>
        <w:bottom w:w="15.0" w:type="dxa"/>
        <w:right w:w="15.0" w:type="dxa"/>
      </w:tblCellMar>
    </w:tblPr>
  </w:style>
  <w:style w:type="table" w:styleId="a6" w:customStyle="1">
    <w:basedOn w:val="TableNormal2"/>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pBdr>
        <w:top w:space="0" w:sz="0" w:val="nil"/>
        <w:left w:space="0" w:sz="0" w:val="nil"/>
        <w:bottom w:space="0" w:sz="0" w:val="nil"/>
        <w:right w:space="0" w:sz="0" w:val="nil"/>
        <w:between w:space="0" w:sz="0" w:val="nil"/>
      </w:pBdr>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9"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2kFl03QaC4wnRsHMb3qtrgBrfKw==">CgMxLjAyCWguMWZvYjl0ZTIIaC5namRneHM4AHIhMU5UeWxKdjQtNENQdVdVWHdNdUdKeEY2cEtCcC1xZ2Fr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2024-01-26T07:15:00Z</dcterms:created>
  <dc:creator>Mancinelli Angela</dc:creator>
</cp:coreProperties>
</file>