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DOCUMENTAZIONE ULTERIORE PER I SOGGETTI ASSOCIATI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DICHIARAZIONI DI CUI AL PUNTO 15.3.3 DELL’AVVISO PUBBLICO ESPLORATIVO NEL CASO DI RTI, CONSORZI ORDINARI, GEIE GIÀ COSTITUITI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140" w:right="-143" w:firstLine="0"/>
        <w:jc w:val="both"/>
        <w:rPr/>
      </w:pPr>
      <w:r w:rsidDel="00000000" w:rsidR="00000000" w:rsidRPr="00000000">
        <w:rPr>
          <w:rtl w:val="0"/>
        </w:rPr>
        <w:t xml:space="preserve">All’Università degli Studi di Roma “La Sapienza”</w:t>
      </w:r>
    </w:p>
    <w:p w:rsidR="00000000" w:rsidDel="00000000" w:rsidP="00000000" w:rsidRDefault="00000000" w:rsidRPr="00000000" w14:paraId="00000008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Dipartimento di Scienze di Base e Applicate per l’Ingegneria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Via Antonio Scarpa, 16</w:t>
      </w:r>
    </w:p>
    <w:p w:rsidR="00000000" w:rsidDel="00000000" w:rsidP="00000000" w:rsidRDefault="00000000" w:rsidRPr="00000000" w14:paraId="0000000A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00161 Roma</w:t>
      </w:r>
    </w:p>
    <w:p w:rsidR="00000000" w:rsidDel="00000000" w:rsidP="00000000" w:rsidRDefault="00000000" w:rsidRPr="00000000" w14:paraId="0000000B">
      <w:pPr>
        <w:tabs>
          <w:tab w:val="left" w:pos="5940"/>
        </w:tabs>
        <w:spacing w:line="276" w:lineRule="auto"/>
        <w:ind w:left="59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14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4"/>
        </w:tabs>
        <w:spacing w:after="240" w:lineRule="auto"/>
        <w:ind w:left="99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–</w:t>
        <w:tab/>
      </w:r>
      <w:r w:rsidDel="00000000" w:rsidR="00000000" w:rsidRPr="00000000">
        <w:rPr>
          <w:b w:val="1"/>
          <w:rtl w:val="0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fornitura di sistemi integrati AFM/SEM con tecnologia CPEM - CIG 8578089EF7 - CUP B86C18000620007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-14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parti della </w:t>
      </w:r>
      <w:r w:rsidDel="00000000" w:rsidR="00000000" w:rsidRPr="00000000">
        <w:rPr>
          <w:rtl w:val="0"/>
        </w:rPr>
        <w:t xml:space="preserve">fornitura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saranno eseguite dai singoli operatori economici riuniti o consorziati, sono le seguenti: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DICHIARAZIONI DI CUI AL PUNTO 15.3.3 DELL’AVVISO PUBBLICO ESPLORATIVO NEL CASO DI RTI O CONSORZI ORDINARI O GEIE NON ANCORA COSTITUITI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140" w:right="-143" w:firstLine="0"/>
        <w:jc w:val="both"/>
        <w:rPr/>
      </w:pPr>
      <w:r w:rsidDel="00000000" w:rsidR="00000000" w:rsidRPr="00000000">
        <w:rPr>
          <w:rtl w:val="0"/>
        </w:rPr>
        <w:t xml:space="preserve">All’Università degli Studi di Roma “La Sapienza”</w:t>
      </w:r>
    </w:p>
    <w:p w:rsidR="00000000" w:rsidDel="00000000" w:rsidP="00000000" w:rsidRDefault="00000000" w:rsidRPr="00000000" w14:paraId="00000021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Dipartimento di Scienze di Base e Applicate per l’Ingegneria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Via Antonio Scarpa, 16</w:t>
      </w:r>
    </w:p>
    <w:p w:rsidR="00000000" w:rsidDel="00000000" w:rsidP="00000000" w:rsidRDefault="00000000" w:rsidRPr="00000000" w14:paraId="00000023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00161 Roma</w:t>
      </w:r>
    </w:p>
    <w:p w:rsidR="00000000" w:rsidDel="00000000" w:rsidP="00000000" w:rsidRDefault="00000000" w:rsidRPr="00000000" w14:paraId="00000024">
      <w:pPr>
        <w:tabs>
          <w:tab w:val="left" w:pos="5940"/>
        </w:tabs>
        <w:spacing w:line="276" w:lineRule="auto"/>
        <w:ind w:left="59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right="14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240" w:lineRule="auto"/>
        <w:ind w:left="99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–</w:t>
        <w:tab/>
      </w:r>
      <w:r w:rsidDel="00000000" w:rsidR="00000000" w:rsidRPr="00000000">
        <w:rPr>
          <w:b w:val="1"/>
          <w:rtl w:val="0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fornitura di sistemi integrati AFM/SEM con tecnologia CPEM - CIG 8578089EF7 - CUP B86C18000620007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40" w:before="24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12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che, in caso di aggiudicazione, sarà conferito mandato speciale con rappresentanza o funzioni di capogruppo a: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impegnarsi, in caso di aggiudicazione, ad uniformarsi alla disciplina vigente con riguardo ai raggruppamenti temporanei / consorzi / GEIE conferendo mandato collettivo speciale con rappresentanza all’impresa qualificata come mandataria che stipulerà il contratto in nome e per conto delle mandanti/consorziate;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12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parti de</w:t>
      </w:r>
      <w:r w:rsidDel="00000000" w:rsidR="00000000" w:rsidRPr="00000000">
        <w:rPr>
          <w:rtl w:val="0"/>
        </w:rPr>
        <w:t xml:space="preserve">lla fornitura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saranno eseguite dai singoli operatori economici riuniti o consorziati, sono le seguenti: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24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DICHIARAZIONI DI CUI AL PUNTO 15.3.3 DELL’AVVISO PUBBLICO ESPLORATIVO NEL CASO DI AGGREGAZIONI DI IMPRESE ADERENTI AL CONTRATTO DI RETE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140" w:right="-143" w:firstLine="0"/>
        <w:jc w:val="both"/>
        <w:rPr/>
      </w:pPr>
      <w:r w:rsidDel="00000000" w:rsidR="00000000" w:rsidRPr="00000000">
        <w:rPr>
          <w:rtl w:val="0"/>
        </w:rPr>
        <w:t xml:space="preserve">All’Università degli Studi di Roma “La Sapienza”</w:t>
      </w:r>
    </w:p>
    <w:p w:rsidR="00000000" w:rsidDel="00000000" w:rsidP="00000000" w:rsidRDefault="00000000" w:rsidRPr="00000000" w14:paraId="0000003C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Dipartimento di Scienze di Base e Applicate per l’Ingegneria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Via Antonio Scarpa, 16</w:t>
      </w:r>
    </w:p>
    <w:p w:rsidR="00000000" w:rsidDel="00000000" w:rsidP="00000000" w:rsidRDefault="00000000" w:rsidRPr="00000000" w14:paraId="0000003E">
      <w:pPr>
        <w:spacing w:line="276" w:lineRule="auto"/>
        <w:ind w:left="4140" w:firstLine="0"/>
        <w:rPr/>
      </w:pPr>
      <w:r w:rsidDel="00000000" w:rsidR="00000000" w:rsidRPr="00000000">
        <w:rPr>
          <w:rtl w:val="0"/>
        </w:rPr>
        <w:t xml:space="preserve">00161 Roma</w:t>
      </w:r>
    </w:p>
    <w:p w:rsidR="00000000" w:rsidDel="00000000" w:rsidP="00000000" w:rsidRDefault="00000000" w:rsidRPr="00000000" w14:paraId="0000003F">
      <w:pPr>
        <w:tabs>
          <w:tab w:val="left" w:pos="5940"/>
        </w:tabs>
        <w:spacing w:line="276" w:lineRule="auto"/>
        <w:ind w:left="59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right="147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84"/>
        </w:tabs>
        <w:spacing w:after="240" w:lineRule="auto"/>
        <w:ind w:left="99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–</w:t>
        <w:tab/>
      </w:r>
      <w:r w:rsidDel="00000000" w:rsidR="00000000" w:rsidRPr="00000000">
        <w:rPr>
          <w:b w:val="1"/>
          <w:rtl w:val="0"/>
        </w:rPr>
        <w:t xml:space="preserve">Manifestazione di interesse a partecipare, mediante RDO sul MEPA, alla procedura, di cui all’art. 36, comma 2, lett. b) del D.lgs. n. 50/2016 e ss. mm. e ii., successivamente derogato dall’art. 1 co. 2 lett. b) del D.L. 76/2020, convertito con modifiche in Legge n. 120/2020, per l’affidamento della fornitura di sistemi integrati AFM/SEM con tecnologia CPEM - CIG 8578089EF7 - CUP B86C18000620007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qualità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 Fiscale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2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AGGREGAZIONI DI IMPRESE ADERENTI AL CONTRATTO DI RETE: SE LA RETE È DOTATA DI UN ORGANO COMUNE CON POTERE DI RAPPRESENTANZA E DI SOGGETTIVITÀ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imprese per le quali la rete concorre sono le seguenti: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denominazione o ragione sociale e 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425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parti della fornitur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saranno eseguite dai singoli operatori economici aggregati in rete, sono le seguenti: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LE AGGREGAZIONI DI IMPRESE ADERENTI AL CONTRATTO DI RETE: SE LA RETE È DOTATA DI UN ORGANO COMUNE CON POTERE DI RAPPRESENTANZA MA È PRIVA DI SOGGETTIVITÀ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426"/>
        </w:tabs>
        <w:spacing w:after="120" w:before="0" w:line="276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</w:t>
        <w:tab/>
        <w:t xml:space="preserve">che le parti del</w:t>
      </w:r>
      <w:r w:rsidDel="00000000" w:rsidR="00000000" w:rsidRPr="00000000">
        <w:rPr>
          <w:rtl w:val="0"/>
        </w:rPr>
        <w:t xml:space="preserve">la fornitura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saranno eseguite dai singoli operatori economici aggregati in rete, sono le seguenti: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AGGREGAZIONI DI IMPRESE ADERENTI AL CONTRATTO DI RETE: SE LA RETE È DOTATA DI UN ORGANO COMUNE PRIVO DEL POTERE DI RAPPRESENTANZA O SE LA RETE È SPROVVISTA DI ORGANO COMUNE, OVVERO, SE L’ORGANO COMUNE È PRIVO DEI REQUISITI DI QUALIFICAZIONE RICHIESTI (IN CASO DI RTI COSTITUENDO)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294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seguenti dichiarazioni devono essere rese 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ciascun candidato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aderente al contratto di rete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294"/>
        </w:tabs>
        <w:spacing w:after="120" w:before="12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120" w:line="240" w:lineRule="auto"/>
        <w:ind w:left="426" w:right="0" w:hanging="4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che, in caso di aggiudicazione, sarà conferito mandato speciale con rappresentanza o funzioni di capogruppo a: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24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240" w:before="0" w:line="240" w:lineRule="auto"/>
        <w:ind w:left="426" w:right="0" w:hanging="4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impegnarsi, in caso di aggiudicazione, ad uniformarsi alla disciplina vigente in materia con riguardo ai raggruppamenti temporanei;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120" w:before="0" w:line="240" w:lineRule="auto"/>
        <w:ind w:left="426" w:right="0" w:hanging="4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parti del</w:t>
      </w:r>
      <w:r w:rsidDel="00000000" w:rsidR="00000000" w:rsidRPr="00000000">
        <w:rPr>
          <w:rtl w:val="0"/>
        </w:rPr>
        <w:t xml:space="preserve">la fornitura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saranno eseguite dai singoli operatori economici aggregati in rete, sono le seguenti: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Georgia" w:cs="Georgia" w:eastAsia="Georgia" w:hAnsi="Georgia"/>
      <w:i w:val="1"/>
      <w:color w:val="666666"/>
      <w:w w:val="100"/>
      <w:position w:val="-1"/>
      <w:sz w:val="48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Times New Roman" w:cs="Times New Roman" w:eastAsia="Times New Roman" w:hAnsi="Times New Roman"/>
      <w:color w:val="auto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line="240" w:lineRule="auto"/>
      <w:ind w:right="-143"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color w:val="auto"/>
      <w:w w:val="100"/>
      <w:position w:val="-1"/>
      <w:szCs w:val="22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delblocco">
    <w:name w:val="Testo del blocco"/>
    <w:basedOn w:val="Normale"/>
    <w:next w:val="Testodelblocco"/>
    <w:autoRedefine w:val="0"/>
    <w:hidden w:val="0"/>
    <w:qFormat w:val="1"/>
    <w:pPr>
      <w:suppressAutoHyphens w:val="1"/>
      <w:spacing w:line="240" w:lineRule="auto"/>
      <w:ind w:left="425" w:right="567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egolamento">
    <w:name w:val="regolamento"/>
    <w:basedOn w:val="Normale"/>
    <w:next w:val="regolamento"/>
    <w:autoRedefine w:val="0"/>
    <w:hidden w:val="0"/>
    <w:qFormat w:val="0"/>
    <w:pPr>
      <w:widowControl w:val="0"/>
      <w:suppressAutoHyphens w:val="1"/>
      <w:spacing w:line="240" w:lineRule="auto"/>
      <w:ind w:left="284" w:leftChars="-1" w:rightChars="0" w:hanging="284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basedOn w:val="Car.predefinitoparagrafo"/>
    <w:next w:val="Corpo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Rientrocorpodeltesto2Carattere">
    <w:name w:val="Rientro corpo del testo 2 Carattere"/>
    <w:basedOn w:val="Car.predefinitoparagrafo"/>
    <w:next w:val="Rientro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YsKkvBYVzf9yISLbos1cUO+bA==">AMUW2mWc6/r97V0MtK9KdpZMM+EqrtD6RpZh/vaOFxpqjRANGd030PBT130Pj5a5cUFmgU7eBcs9vGrme/eQ9/HXQXc2GoYMEXqWFnmTgKDiBKR0HQQJ2BU=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2018-10-10T17:23:00Z</dcterms:created>
  <dc:creator>Santini Stefania</dc:creator>
</cp:coreProperties>
</file>