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57" w:rsidRDefault="00EB6B43">
      <w:pPr>
        <w:spacing w:after="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DICHIARAZIONI INTEGRATIVE PER IL CONCORRENTE</w:t>
      </w:r>
    </w:p>
    <w:p w:rsidR="00CD3757" w:rsidRDefault="00EB6B43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DICHIARAZIONI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CUI AL PUNTO 13.3.1 DEL DISCIPLINARE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GARA</w:t>
      </w:r>
    </w:p>
    <w:p w:rsidR="00CD3757" w:rsidRDefault="00CD3757">
      <w:pPr>
        <w:rPr>
          <w:rFonts w:ascii="Arial" w:eastAsia="Arial" w:hAnsi="Arial" w:cs="Arial"/>
          <w:b/>
          <w:sz w:val="20"/>
          <w:szCs w:val="20"/>
        </w:rPr>
      </w:pPr>
    </w:p>
    <w:p w:rsidR="00CD3757" w:rsidRDefault="00EB6B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Procedura aperta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per l’affidamento della Fornitura, Consegna, Installazione e Messa in Servizio di una PIATTAFORMA di spettrometria di massa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MALDI-ToF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ToF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per la caratterizzazione strutturale di proteine di interesse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bio-farmaceutico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nell’ambito del Progetto: Grandi attr</w:t>
      </w:r>
      <w:r>
        <w:rPr>
          <w:rFonts w:ascii="Arial" w:eastAsia="Arial" w:hAnsi="Arial" w:cs="Arial"/>
          <w:color w:val="000000"/>
          <w:sz w:val="20"/>
          <w:szCs w:val="20"/>
        </w:rPr>
        <w:t>ezzature 2018 – Protocollo GA118164897F9CB1. CIG:</w:t>
      </w:r>
      <w:r>
        <w:rPr>
          <w:rFonts w:ascii="Arial" w:eastAsia="Arial" w:hAnsi="Arial" w:cs="Arial"/>
          <w:sz w:val="20"/>
          <w:szCs w:val="20"/>
        </w:rPr>
        <w:t xml:space="preserve"> 8339568D36 -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CUP: B88D18000120005</w:t>
      </w:r>
    </w:p>
    <w:p w:rsidR="00CD3757" w:rsidRDefault="00CD37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D3757" w:rsidRDefault="00EB6B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CD3757" w:rsidRDefault="00EB6B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nato a </w:t>
      </w:r>
      <w:r>
        <w:rPr>
          <w:rFonts w:ascii="Arial" w:eastAsia="Arial" w:hAnsi="Arial" w:cs="Arial"/>
          <w:color w:val="000000"/>
          <w:sz w:val="16"/>
          <w:szCs w:val="16"/>
        </w:rPr>
        <w:t>_______________________________________________________________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16"/>
          <w:szCs w:val="16"/>
        </w:rPr>
        <w:t>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residente nel Comune di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___________________________________________________________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Provincia </w:t>
      </w:r>
      <w:r>
        <w:rPr>
          <w:rFonts w:ascii="Arial" w:eastAsia="Arial" w:hAnsi="Arial" w:cs="Arial"/>
          <w:color w:val="000000"/>
          <w:sz w:val="16"/>
          <w:szCs w:val="16"/>
        </w:rPr>
        <w:t>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Via/Piazza </w:t>
      </w:r>
      <w:r>
        <w:rPr>
          <w:rFonts w:ascii="Arial" w:eastAsia="Arial" w:hAnsi="Arial" w:cs="Arial"/>
          <w:color w:val="000000"/>
          <w:sz w:val="16"/>
          <w:szCs w:val="16"/>
        </w:rPr>
        <w:t>__________________________________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_________________________________________________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n.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__________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 qualità di </w:t>
      </w:r>
      <w:r>
        <w:rPr>
          <w:rFonts w:ascii="Arial" w:eastAsia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dell’Impresa </w:t>
      </w:r>
      <w:r>
        <w:rPr>
          <w:rFonts w:ascii="Arial" w:eastAsia="Arial" w:hAnsi="Arial" w:cs="Arial"/>
          <w:color w:val="000000"/>
          <w:sz w:val="16"/>
          <w:szCs w:val="16"/>
        </w:rPr>
        <w:t>_____________________________________________________________________</w:t>
      </w:r>
      <w:r>
        <w:rPr>
          <w:rFonts w:ascii="Arial" w:eastAsia="Arial" w:hAnsi="Arial" w:cs="Arial"/>
          <w:color w:val="000000"/>
          <w:sz w:val="16"/>
          <w:szCs w:val="16"/>
        </w:rPr>
        <w:t>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sede in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_______________________________________________________________________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Provincia </w:t>
      </w:r>
      <w:r>
        <w:rPr>
          <w:rFonts w:ascii="Arial" w:eastAsia="Arial" w:hAnsi="Arial" w:cs="Arial"/>
          <w:color w:val="000000"/>
          <w:sz w:val="16"/>
          <w:szCs w:val="16"/>
        </w:rPr>
        <w:t>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Via/Piazza </w:t>
      </w:r>
      <w:r>
        <w:rPr>
          <w:rFonts w:ascii="Arial" w:eastAsia="Arial" w:hAnsi="Arial" w:cs="Arial"/>
          <w:color w:val="000000"/>
          <w:sz w:val="16"/>
          <w:szCs w:val="16"/>
        </w:rPr>
        <w:t>_____________________________________________________________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__________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C.A.P. </w:t>
      </w:r>
      <w:r>
        <w:rPr>
          <w:rFonts w:ascii="Arial" w:eastAsia="Arial" w:hAnsi="Arial" w:cs="Arial"/>
          <w:color w:val="000000"/>
          <w:sz w:val="16"/>
          <w:szCs w:val="16"/>
        </w:rPr>
        <w:t>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Codice Fiscal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z w:val="16"/>
          <w:szCs w:val="16"/>
        </w:rPr>
        <w:t>___________________________________________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P.I.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_____________________________________________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tel.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____________________________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PEC </w:t>
      </w:r>
      <w:r>
        <w:rPr>
          <w:rFonts w:ascii="Arial" w:eastAsia="Arial" w:hAnsi="Arial" w:cs="Arial"/>
          <w:color w:val="000000"/>
          <w:sz w:val="16"/>
          <w:szCs w:val="16"/>
        </w:rPr>
        <w:t>______________________________________________________________________</w:t>
      </w:r>
    </w:p>
    <w:p w:rsidR="00CD3757" w:rsidRDefault="00EB6B4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ai sensi degli articoli 46 e 47 del D.P.R. 445/200</w:t>
      </w:r>
      <w:r>
        <w:rPr>
          <w:rFonts w:ascii="Arial" w:eastAsia="Arial" w:hAnsi="Arial" w:cs="Arial"/>
          <w:sz w:val="20"/>
          <w:szCs w:val="20"/>
        </w:rPr>
        <w:t>0 e successive modificazioni consapevole delle sanzioni penali previste dall’art. 76 del medesimo D.P.R., per le ipotesi di falsità in atti e dichiarazioni mendaci ivi indicate,</w:t>
      </w:r>
    </w:p>
    <w:p w:rsidR="00CD3757" w:rsidRDefault="00EB6B4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</w:t>
      </w:r>
    </w:p>
    <w:p w:rsidR="00CD3757" w:rsidRDefault="00EB6B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che, per i soggetti di cui all’art. 80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3 del Codice, non ricorrono le cause di esclusione di cui all’art. 80, comma 1 lett. b-bis) e comma 2 del Codice;</w:t>
      </w:r>
    </w:p>
    <w:p w:rsidR="00CD3757" w:rsidRDefault="00EB6B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che, nel caso di estinzione integrale del debito tributario o previdenziale, l’estinzione del debit</w:t>
      </w:r>
      <w:r>
        <w:rPr>
          <w:rFonts w:ascii="Arial" w:eastAsia="Arial" w:hAnsi="Arial" w:cs="Arial"/>
          <w:color w:val="000000"/>
          <w:sz w:val="20"/>
          <w:szCs w:val="20"/>
        </w:rPr>
        <w:t>o tributario o previdenziale si è perfezionata anteriormente alla scadenza del termine per la presentazione della domanda (art. 80, comma 4, sesto periodo, del Codice);</w:t>
      </w:r>
    </w:p>
    <w:p w:rsidR="00CD3757" w:rsidRDefault="00EB6B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non incorrere nelle cause di esclusione di cui all’art. 80, comma 5 lett. f-bis) 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-ter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del Codice;</w:t>
      </w:r>
    </w:p>
    <w:p w:rsidR="00CD3757" w:rsidRDefault="00EB6B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che i dati identificativi dei soggetti di cui all’art. 80, comma 3 del Codice (nome, cognome, data e luogo di nascita, codice fiscale, comune di residenza etc.) sono i seguenti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tbl>
      <w:tblPr>
        <w:tblStyle w:val="a"/>
        <w:tblW w:w="9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0"/>
        <w:gridCol w:w="1136"/>
        <w:gridCol w:w="1842"/>
        <w:gridCol w:w="1558"/>
        <w:gridCol w:w="1707"/>
        <w:gridCol w:w="1136"/>
      </w:tblGrid>
      <w:tr w:rsidR="00CD3757">
        <w:tc>
          <w:tcPr>
            <w:tcW w:w="2410" w:type="dxa"/>
            <w:shd w:val="clear" w:color="auto" w:fill="D9D9D9"/>
            <w:vAlign w:val="center"/>
          </w:tcPr>
          <w:p w:rsidR="00CD3757" w:rsidRDefault="00EB6B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1136" w:type="dxa"/>
            <w:shd w:val="clear" w:color="auto" w:fill="D9D9D9"/>
            <w:vAlign w:val="center"/>
          </w:tcPr>
          <w:p w:rsidR="00CD3757" w:rsidRDefault="00EB6B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D3757" w:rsidRDefault="00EB6B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CD3757" w:rsidRDefault="00EB6B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Codice fisc</w:t>
            </w:r>
            <w:r>
              <w:rPr>
                <w:rFonts w:ascii="Arial" w:eastAsia="Arial" w:hAnsi="Arial" w:cs="Arial"/>
                <w:sz w:val="20"/>
                <w:szCs w:val="20"/>
              </w:rPr>
              <w:t>ale</w:t>
            </w:r>
          </w:p>
        </w:tc>
        <w:tc>
          <w:tcPr>
            <w:tcW w:w="1707" w:type="dxa"/>
            <w:shd w:val="clear" w:color="auto" w:fill="D9D9D9"/>
            <w:vAlign w:val="center"/>
          </w:tcPr>
          <w:p w:rsidR="00CD3757" w:rsidRDefault="00EB6B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Comune di residenza</w:t>
            </w:r>
          </w:p>
        </w:tc>
        <w:tc>
          <w:tcPr>
            <w:tcW w:w="1136" w:type="dxa"/>
            <w:shd w:val="clear" w:color="auto" w:fill="D9D9D9"/>
            <w:vAlign w:val="center"/>
          </w:tcPr>
          <w:p w:rsidR="00CD3757" w:rsidRDefault="00EB6B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Qualifica</w:t>
            </w:r>
          </w:p>
        </w:tc>
      </w:tr>
      <w:tr w:rsidR="00CD3757">
        <w:trPr>
          <w:trHeight w:val="783"/>
        </w:trPr>
        <w:tc>
          <w:tcPr>
            <w:tcW w:w="2410" w:type="dxa"/>
            <w:shd w:val="clear" w:color="auto" w:fill="auto"/>
          </w:tcPr>
          <w:p w:rsidR="00CD3757" w:rsidRDefault="00CD3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D3757" w:rsidRDefault="00CD3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D3757" w:rsidRDefault="00CD3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CD3757" w:rsidRDefault="00CD3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CD3757" w:rsidRDefault="00CD3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D3757" w:rsidRDefault="00CD3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D3757" w:rsidRDefault="00CD3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D3757" w:rsidRDefault="00CD3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D3757" w:rsidRDefault="00EB6B43">
      <w:pP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2"/>
      </w:r>
    </w:p>
    <w:p w:rsidR="00CD3757" w:rsidRDefault="00CD3757">
      <w:pPr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p w:rsidR="00CD3757" w:rsidRDefault="00EB6B43">
      <w:pPr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OPPURE</w:t>
      </w:r>
    </w:p>
    <w:p w:rsidR="00CD3757" w:rsidRDefault="00CD3757">
      <w:pPr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CD3757" w:rsidRDefault="00CD3757">
      <w:pPr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CD3757" w:rsidRDefault="00EB6B43">
      <w:pP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che la banca dati ufficiale o il pubblico registro da cui i medesimi possono essere ricavati, in modo aggiornato alla data di presentazione dell’offerta, è la/il seguente 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</w:p>
    <w:p w:rsidR="00CD3757" w:rsidRDefault="00CD3757">
      <w:pPr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p w:rsidR="00CD3757" w:rsidRDefault="00EB6B43">
      <w:pP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__________________________________________________________________________________;</w:t>
      </w:r>
    </w:p>
    <w:p w:rsidR="00CD3757" w:rsidRDefault="00CD3757">
      <w:pPr>
        <w:jc w:val="both"/>
        <w:rPr>
          <w:rFonts w:ascii="Arial" w:eastAsia="Arial" w:hAnsi="Arial" w:cs="Arial"/>
          <w:sz w:val="20"/>
          <w:szCs w:val="20"/>
        </w:rPr>
      </w:pPr>
    </w:p>
    <w:p w:rsidR="00CD3757" w:rsidRDefault="00EB6B4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che l’offerta economica presentata risulta remunerativa giacché per la sua formulazione si è preso atto e tenuto conto:</w:t>
      </w:r>
    </w:p>
    <w:p w:rsidR="00CD3757" w:rsidRDefault="00EB6B43">
      <w:pPr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delle condizioni contrattuali e degli oneri compresi quelli eventuali relativi in materia di sicurezza, di assicurazione, di condizioni di lavoro e di previdenza e assistenza in vigore nel luogo dove devono essere svolte le attività;</w:t>
      </w:r>
    </w:p>
    <w:p w:rsidR="00CD3757" w:rsidRDefault="00EB6B43">
      <w:pPr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di tutte le circ</w:t>
      </w:r>
      <w:r>
        <w:rPr>
          <w:rFonts w:ascii="Arial" w:eastAsia="Arial" w:hAnsi="Arial" w:cs="Arial"/>
          <w:sz w:val="20"/>
          <w:szCs w:val="20"/>
        </w:rPr>
        <w:t>ostanze generali, particolari e locali, nessuna esclusa ed eccettuata, che possono avere influito o influire sia sulla prestazione delle attività, sia sulla determinazione della propria offerta;</w:t>
      </w:r>
    </w:p>
    <w:p w:rsidR="00CD3757" w:rsidRDefault="00EB6B43">
      <w:pPr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di accettare, senza condizione o riserva alcuna, tutte le </w:t>
      </w:r>
      <w:r>
        <w:rPr>
          <w:rFonts w:ascii="Arial" w:eastAsia="Arial" w:hAnsi="Arial" w:cs="Arial"/>
          <w:sz w:val="20"/>
          <w:szCs w:val="20"/>
        </w:rPr>
        <w:t>norme e disposizioni contenute nella documentazione di gara;</w:t>
      </w:r>
    </w:p>
    <w:p w:rsidR="00CD3757" w:rsidRDefault="00EB6B43">
      <w:pPr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di accettare il Patto di integrità allegato alla documentazione di gara (art. 1, comma 17, della L. 6 novembre 2012 n. 190);</w:t>
      </w:r>
    </w:p>
    <w:p w:rsidR="00CD3757" w:rsidRDefault="00EB6B43">
      <w:pPr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di essere edotto degli obblighi derivanti dal codice di comporta</w:t>
      </w:r>
      <w:r>
        <w:rPr>
          <w:rFonts w:ascii="Arial" w:eastAsia="Arial" w:hAnsi="Arial" w:cs="Arial"/>
          <w:sz w:val="20"/>
          <w:szCs w:val="20"/>
        </w:rPr>
        <w:t>mento, adottato dalla stazione appaltante con Decreto Rettorale n. 1528 del 27.05.2015 allegato alla documentazione di gara, e di impegnarsi, in caso di aggiudicazione, ad osservare e a far osservare il medesimo ai propri dipendenti e collaboratori, per qu</w:t>
      </w:r>
      <w:r>
        <w:rPr>
          <w:rFonts w:ascii="Arial" w:eastAsia="Arial" w:hAnsi="Arial" w:cs="Arial"/>
          <w:sz w:val="20"/>
          <w:szCs w:val="20"/>
        </w:rPr>
        <w:t>anto applicabile, pena la risoluzione del contratto;</w:t>
      </w:r>
    </w:p>
    <w:p w:rsidR="00CD3757" w:rsidRDefault="00EB6B4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 gli operatori economici non residenti e privi di stabile organizzazione in Italia</w:t>
      </w:r>
    </w:p>
    <w:p w:rsidR="00CD3757" w:rsidRDefault="00EB6B43">
      <w:pPr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 di impegnarsi ad uniformarsi, in caso di aggiudicazione, alla disciplina di cui agli articoli 17, comma 2, e 53, c</w:t>
      </w:r>
      <w:r>
        <w:rPr>
          <w:rFonts w:ascii="Arial" w:eastAsia="Arial" w:hAnsi="Arial" w:cs="Arial"/>
          <w:sz w:val="20"/>
          <w:szCs w:val="20"/>
        </w:rPr>
        <w:t>omma 3 del D.P.R. 633/1972 e a comunicare alla stazione appaltante la nomina del proprio rappresentante fiscale, nelle forme di legge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sz w:val="20"/>
          <w:szCs w:val="20"/>
        </w:rPr>
        <w:t>;</w:t>
      </w:r>
    </w:p>
    <w:p w:rsidR="00CD3757" w:rsidRDefault="00EB6B43">
      <w:pPr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 che il domicilio fiscale, il codice fiscale, la partita IVA, l’indirizzo di PEC o, unicamente in caso di concorrenti</w:t>
      </w:r>
      <w:r>
        <w:rPr>
          <w:rFonts w:ascii="Arial" w:eastAsia="Arial" w:hAnsi="Arial" w:cs="Arial"/>
          <w:sz w:val="20"/>
          <w:szCs w:val="20"/>
        </w:rPr>
        <w:t xml:space="preserve"> aventi sede in altri Stati membri, indirizzo di posta elettronica, per tutte le comunicazioni, di cui all’art. 76, comma 5 del Codice, inerenti la presente procedura di gara sono i seguenti:</w:t>
      </w:r>
    </w:p>
    <w:p w:rsidR="00CD3757" w:rsidRDefault="00EB6B43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</w:t>
      </w:r>
    </w:p>
    <w:p w:rsidR="00CD3757" w:rsidRDefault="00EB6B43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__________________________________________________________________________________;</w:t>
      </w:r>
    </w:p>
    <w:p w:rsidR="00CD3757" w:rsidRDefault="00EB6B43">
      <w:pPr>
        <w:tabs>
          <w:tab w:val="left" w:pos="284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 di autorizzare, qualora un partecipante alla gara eserciti la facoltà di “accesso agli atti”, la stazione appaltante a rilasciare copia di tutta la d</w:t>
      </w:r>
      <w:r>
        <w:rPr>
          <w:rFonts w:ascii="Arial" w:eastAsia="Arial" w:hAnsi="Arial" w:cs="Arial"/>
          <w:sz w:val="20"/>
          <w:szCs w:val="20"/>
        </w:rPr>
        <w:t>ocumentazione presentata per la partecipazione alla gara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"/>
      </w:r>
      <w:r>
        <w:rPr>
          <w:rFonts w:ascii="Arial" w:eastAsia="Arial" w:hAnsi="Arial" w:cs="Arial"/>
          <w:sz w:val="20"/>
          <w:szCs w:val="20"/>
        </w:rPr>
        <w:t>;</w:t>
      </w:r>
    </w:p>
    <w:p w:rsidR="00CD3757" w:rsidRDefault="00EB6B4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OPPURE</w:t>
      </w:r>
    </w:p>
    <w:p w:rsidR="00CD3757" w:rsidRDefault="00EB6B43">
      <w:pPr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autorizzare, qualora un partecipante alla gara eserciti la facoltà di “accesso agli atti”, la stazione appaltante a rilasciare copia dell’offerta tecnica e delle spiegazioni che saran</w:t>
      </w:r>
      <w:r>
        <w:rPr>
          <w:rFonts w:ascii="Arial" w:eastAsia="Arial" w:hAnsi="Arial" w:cs="Arial"/>
          <w:sz w:val="20"/>
          <w:szCs w:val="20"/>
        </w:rPr>
        <w:t>no eventualmente richieste in sede di verifica delle offerte anomale, in quanto coperta da segreto tecnico/commerciale (</w:t>
      </w:r>
      <w:r>
        <w:rPr>
          <w:rFonts w:ascii="Arial" w:eastAsia="Arial" w:hAnsi="Arial" w:cs="Arial"/>
          <w:i/>
          <w:sz w:val="20"/>
          <w:szCs w:val="20"/>
        </w:rPr>
        <w:t>motivare e comprovare adeguatamente ai sensi dell’art. 53, comma 5, lett. a), del Codice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18"/>
          <w:szCs w:val="18"/>
          <w:vertAlign w:val="superscript"/>
        </w:rPr>
        <w:t>4</w:t>
      </w:r>
      <w:r>
        <w:rPr>
          <w:rFonts w:ascii="Arial" w:eastAsia="Arial" w:hAnsi="Arial" w:cs="Arial"/>
          <w:sz w:val="20"/>
          <w:szCs w:val="20"/>
        </w:rPr>
        <w:t>:</w:t>
      </w:r>
    </w:p>
    <w:p w:rsidR="00CD3757" w:rsidRDefault="00EB6B43">
      <w:pPr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</w:t>
      </w:r>
    </w:p>
    <w:p w:rsidR="00CD3757" w:rsidRDefault="00EB6B43">
      <w:pPr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__________________________________________________________________________________;</w:t>
      </w:r>
    </w:p>
    <w:p w:rsidR="00CD3757" w:rsidRDefault="00EB6B43">
      <w:pPr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12. di aver letto e compreso quanto riportato nell’Informativa redatta ai sensi degli artt. 12, 13 e 14 Regolamento generale sulla pr</w:t>
      </w:r>
      <w:r>
        <w:rPr>
          <w:rFonts w:ascii="Arial" w:eastAsia="Arial" w:hAnsi="Arial" w:cs="Arial"/>
          <w:sz w:val="20"/>
          <w:szCs w:val="20"/>
        </w:rPr>
        <w:t>otezione dei dati (GDPR) UE 2016/679 e della vigente normativa nazionale, presente nella documentazione di gara e presta il consenso al trattamento dei dati per le finalità indicate nel punto 4. dell’Informativa medesima;</w:t>
      </w:r>
    </w:p>
    <w:p w:rsidR="00CD3757" w:rsidRDefault="00EB6B43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 gli operatori economici ammess</w:t>
      </w:r>
      <w:r>
        <w:rPr>
          <w:rFonts w:ascii="Arial" w:eastAsia="Arial" w:hAnsi="Arial" w:cs="Arial"/>
          <w:b/>
          <w:sz w:val="20"/>
          <w:szCs w:val="20"/>
        </w:rPr>
        <w:t>i al concordato preventivo con continuità aziendale di cui all’art. 186 bis del R.D. 16 marzo 1942 n. 267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5"/>
      </w:r>
    </w:p>
    <w:p w:rsidR="00CD3757" w:rsidRDefault="00EB6B43">
      <w:pPr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 che gli estremi del provvedimento di ammissione al concordato e del provvedimento di autorizzazione a partecipare alle gare sono i seguenti: ___________________________________________, rilasciati dal Tribunale di ____________________________, nonché d</w:t>
      </w:r>
      <w:r>
        <w:rPr>
          <w:rFonts w:ascii="Arial" w:eastAsia="Arial" w:hAnsi="Arial" w:cs="Arial"/>
          <w:sz w:val="20"/>
          <w:szCs w:val="20"/>
        </w:rPr>
        <w:t>i non partecipare alla gara quale mandataria di un raggruppamento temporaneo di imprese e che le altre imprese aderenti al raggruppamento non sono assoggettate ad una procedura concorsuale ai sensi dell’art. 186 bis, comma 6 del R.D. 16 marzo 1942 n. 267.</w:t>
      </w:r>
    </w:p>
    <w:p w:rsidR="00CD3757" w:rsidRDefault="00EB6B43">
      <w:pPr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ovvero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D3757" w:rsidRDefault="00EB6B43">
      <w:pPr>
        <w:ind w:left="284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che gli estremi del decreto di apertura della procedura di concordato e del provvedimento di autorizzazione a partecipare alle gare  rilasciati dal Giudice delegato di _________________, sono i seguenti: ___________________________________________, nonché </w:t>
      </w:r>
      <w:r>
        <w:rPr>
          <w:rFonts w:ascii="Arial" w:eastAsia="Arial" w:hAnsi="Arial" w:cs="Arial"/>
          <w:sz w:val="20"/>
          <w:szCs w:val="20"/>
        </w:rPr>
        <w:t>di non partecipare alla gara quale mandataria di un raggruppamento temporaneo di imprese e che le altre imprese aderenti al raggruppamento non sono assoggettate ad una procedura concorsuale ai sensi dell’art. 186 bis, comma 6 del R.D. 16 marzo 1942 n. 267.</w:t>
      </w:r>
    </w:p>
    <w:p w:rsidR="00CD3757" w:rsidRDefault="00CD3757">
      <w:pPr>
        <w:spacing w:before="60" w:after="60"/>
        <w:ind w:left="142"/>
        <w:rPr>
          <w:rFonts w:ascii="Arial" w:eastAsia="Arial" w:hAnsi="Arial" w:cs="Arial"/>
          <w:b/>
          <w:sz w:val="20"/>
          <w:szCs w:val="20"/>
        </w:rPr>
      </w:pPr>
    </w:p>
    <w:p w:rsidR="00CD3757" w:rsidRDefault="00CD3757">
      <w:pPr>
        <w:spacing w:before="60" w:after="60"/>
        <w:ind w:left="142"/>
        <w:rPr>
          <w:rFonts w:ascii="Arial" w:eastAsia="Arial" w:hAnsi="Arial" w:cs="Arial"/>
          <w:b/>
          <w:sz w:val="20"/>
          <w:szCs w:val="20"/>
        </w:rPr>
      </w:pPr>
    </w:p>
    <w:p w:rsidR="00CD3757" w:rsidRDefault="00CD3757">
      <w:pPr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:rsidR="00CD3757" w:rsidRDefault="00EB6B43">
      <w:pPr>
        <w:spacing w:after="60"/>
        <w:ind w:firstLine="637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</w:t>
      </w:r>
    </w:p>
    <w:p w:rsidR="00CD3757" w:rsidRDefault="00EB6B43">
      <w:pPr>
        <w:spacing w:after="0"/>
        <w:ind w:firstLine="637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</w:t>
      </w:r>
    </w:p>
    <w:p w:rsidR="00CD3757" w:rsidRDefault="00CD3757">
      <w:pPr>
        <w:spacing w:after="0"/>
        <w:ind w:firstLine="6379"/>
        <w:jc w:val="center"/>
        <w:rPr>
          <w:rFonts w:ascii="Arial" w:eastAsia="Arial" w:hAnsi="Arial" w:cs="Arial"/>
          <w:sz w:val="20"/>
          <w:szCs w:val="20"/>
        </w:rPr>
      </w:pPr>
    </w:p>
    <w:p w:rsidR="00CD3757" w:rsidRDefault="00CD3757">
      <w:pPr>
        <w:jc w:val="center"/>
        <w:rPr>
          <w:rFonts w:ascii="Arial" w:eastAsia="Arial" w:hAnsi="Arial" w:cs="Arial"/>
          <w:sz w:val="20"/>
          <w:szCs w:val="20"/>
        </w:rPr>
      </w:pPr>
    </w:p>
    <w:sectPr w:rsidR="00CD3757" w:rsidSect="00CD375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43" w:rsidRDefault="00EB6B43" w:rsidP="00CD3757">
      <w:pPr>
        <w:spacing w:after="0" w:line="240" w:lineRule="auto"/>
      </w:pPr>
      <w:r>
        <w:separator/>
      </w:r>
    </w:p>
  </w:endnote>
  <w:endnote w:type="continuationSeparator" w:id="0">
    <w:p w:rsidR="00EB6B43" w:rsidRDefault="00EB6B43" w:rsidP="00C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43" w:rsidRDefault="00EB6B43" w:rsidP="00CD3757">
      <w:pPr>
        <w:spacing w:after="0" w:line="240" w:lineRule="auto"/>
      </w:pPr>
      <w:r>
        <w:separator/>
      </w:r>
    </w:p>
  </w:footnote>
  <w:footnote w:type="continuationSeparator" w:id="0">
    <w:p w:rsidR="00EB6B43" w:rsidRDefault="00EB6B43" w:rsidP="00CD3757">
      <w:pPr>
        <w:spacing w:after="0" w:line="240" w:lineRule="auto"/>
      </w:pPr>
      <w:r>
        <w:continuationSeparator/>
      </w:r>
    </w:p>
  </w:footnote>
  <w:footnote w:id="1">
    <w:p w:rsidR="00CD3757" w:rsidRDefault="00EB6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Depennare l’opzione che non interessa.</w:t>
      </w:r>
    </w:p>
  </w:footnote>
  <w:footnote w:id="2">
    <w:p w:rsidR="00CD3757" w:rsidRDefault="00EB6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Compilare la tabella, possibilmente in formato elettronico, aumentando le righe in base al numero dei soggetti da inserire.  </w:t>
      </w:r>
    </w:p>
  </w:footnote>
  <w:footnote w:id="3">
    <w:p w:rsidR="00CD3757" w:rsidRDefault="00EB6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Depennare l’intero punto qualora non sia pertinente.</w:t>
      </w:r>
    </w:p>
  </w:footnote>
  <w:footnote w:id="4">
    <w:p w:rsidR="00CD3757" w:rsidRDefault="00EB6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Depennare l’opzione che non interessa.</w:t>
      </w:r>
    </w:p>
  </w:footnote>
  <w:footnote w:id="5">
    <w:p w:rsidR="00CD3757" w:rsidRDefault="00EB6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Compilare solo in caso di concordato preventivo altrimenti depennare l’intero punto.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84FCA"/>
    <w:multiLevelType w:val="multilevel"/>
    <w:tmpl w:val="65C21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757"/>
    <w:rsid w:val="003C4BA2"/>
    <w:rsid w:val="00CD3757"/>
    <w:rsid w:val="00EB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FA9"/>
  </w:style>
  <w:style w:type="paragraph" w:styleId="Titolo1">
    <w:name w:val="heading 1"/>
    <w:basedOn w:val="normal"/>
    <w:next w:val="normal"/>
    <w:rsid w:val="00CD37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D37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D37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D37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D375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CD37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D3757"/>
  </w:style>
  <w:style w:type="table" w:customStyle="1" w:styleId="TableNormal">
    <w:name w:val="Table Normal"/>
    <w:rsid w:val="00CD37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D3757"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unhideWhenUsed/>
    <w:rsid w:val="00FB7F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7F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54B"/>
  </w:style>
  <w:style w:type="paragraph" w:styleId="Pidipagina">
    <w:name w:val="footer"/>
    <w:basedOn w:val="Normale"/>
    <w:link w:val="PidipaginaCarattere"/>
    <w:uiPriority w:val="99"/>
    <w:unhideWhenUsed/>
    <w:rsid w:val="00E2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54B"/>
  </w:style>
  <w:style w:type="paragraph" w:styleId="Sottotitolo">
    <w:name w:val="Subtitle"/>
    <w:basedOn w:val="normal"/>
    <w:next w:val="normal"/>
    <w:rsid w:val="00CD37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37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FliDxzWJAcprjmhrqVIZzwkslg==">AMUW2mXmeV4aqTK4VpnxAs1e2BI96cZVpdcvbXAi6txVRpAJgHr2t9jGvx0j8MSib+wCH3dfdQNgEDaHs/q+MEPw8oqeqtTpsQqVKkQSGNbnGJU3phbl7v+f87m8hVLLxFAkyiScGpeH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Santini Stefania</dc:creator>
  <cp:lastModifiedBy>HOME</cp:lastModifiedBy>
  <cp:revision>2</cp:revision>
  <dcterms:created xsi:type="dcterms:W3CDTF">2020-07-27T08:36:00Z</dcterms:created>
  <dcterms:modified xsi:type="dcterms:W3CDTF">2020-07-27T08:36:00Z</dcterms:modified>
</cp:coreProperties>
</file>